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0BB70" w14:textId="15AA9F39" w:rsidR="00066F28" w:rsidRPr="00BA795A" w:rsidRDefault="00066F28" w:rsidP="00066F28">
      <w:pPr>
        <w:shd w:val="clear" w:color="auto" w:fill="FFFFFF"/>
        <w:spacing w:after="135" w:line="240" w:lineRule="auto"/>
        <w:ind w:left="0"/>
        <w:rPr>
          <w:rFonts w:ascii="Times New Roman" w:eastAsia="Times New Roman" w:hAnsi="Times New Roman" w:cs="Times New Roman"/>
          <w:b/>
          <w:bCs/>
        </w:rPr>
      </w:pPr>
      <w:r w:rsidRPr="00BA795A">
        <w:rPr>
          <w:rFonts w:ascii="Times New Roman" w:eastAsia="Times New Roman" w:hAnsi="Times New Roman" w:cs="Times New Roman"/>
          <w:b/>
          <w:bCs/>
        </w:rPr>
        <w:t xml:space="preserve">Punkt </w:t>
      </w:r>
      <w:r w:rsidR="00D50B4D" w:rsidRPr="00BA795A">
        <w:rPr>
          <w:rFonts w:ascii="Times New Roman" w:eastAsia="Times New Roman" w:hAnsi="Times New Roman" w:cs="Times New Roman"/>
          <w:b/>
          <w:bCs/>
        </w:rPr>
        <w:t>1</w:t>
      </w:r>
      <w:r w:rsidR="00BE2A4A" w:rsidRPr="00BA795A">
        <w:rPr>
          <w:rFonts w:ascii="Times New Roman" w:eastAsia="Times New Roman" w:hAnsi="Times New Roman" w:cs="Times New Roman"/>
          <w:b/>
          <w:bCs/>
        </w:rPr>
        <w:t>1</w:t>
      </w:r>
      <w:r w:rsidRPr="00BA795A">
        <w:rPr>
          <w:rFonts w:ascii="Times New Roman" w:eastAsia="Times New Roman" w:hAnsi="Times New Roman" w:cs="Times New Roman"/>
          <w:b/>
          <w:bCs/>
        </w:rPr>
        <w:t xml:space="preserve"> – Förslag till beslut om införande av </w:t>
      </w:r>
      <w:r w:rsidR="006245F5" w:rsidRPr="00BA795A">
        <w:rPr>
          <w:rFonts w:ascii="Times New Roman" w:eastAsia="Times New Roman" w:hAnsi="Times New Roman" w:cs="Times New Roman"/>
          <w:b/>
          <w:bCs/>
        </w:rPr>
        <w:t xml:space="preserve">incitamentsprogram </w:t>
      </w:r>
      <w:r w:rsidRPr="00BA795A">
        <w:rPr>
          <w:rFonts w:ascii="Times New Roman" w:eastAsia="Times New Roman" w:hAnsi="Times New Roman" w:cs="Times New Roman"/>
          <w:b/>
          <w:bCs/>
        </w:rPr>
        <w:t>och emission av teckningsoptioner</w:t>
      </w:r>
    </w:p>
    <w:p w14:paraId="532FFDF3" w14:textId="2F5411B4" w:rsidR="000B3188" w:rsidRPr="00BA795A" w:rsidRDefault="00066F28" w:rsidP="00066F28">
      <w:pPr>
        <w:ind w:left="0"/>
        <w:rPr>
          <w:rFonts w:ascii="Times New Roman" w:hAnsi="Times New Roman" w:cs="Times New Roman"/>
        </w:rPr>
      </w:pPr>
      <w:r w:rsidRPr="00BA795A">
        <w:rPr>
          <w:rFonts w:ascii="Times New Roman" w:hAnsi="Times New Roman" w:cs="Times New Roman"/>
        </w:rPr>
        <w:t>Styrelsen</w:t>
      </w:r>
      <w:r w:rsidR="006245F5" w:rsidRPr="00BA795A">
        <w:rPr>
          <w:rFonts w:ascii="Times New Roman" w:hAnsi="Times New Roman" w:cs="Times New Roman"/>
        </w:rPr>
        <w:t xml:space="preserve"> föreslår</w:t>
      </w:r>
      <w:r w:rsidRPr="00BA795A">
        <w:rPr>
          <w:rFonts w:ascii="Times New Roman" w:hAnsi="Times New Roman" w:cs="Times New Roman"/>
        </w:rPr>
        <w:t xml:space="preserve"> att årsstämman beslutar om införande av </w:t>
      </w:r>
      <w:r w:rsidR="006245F5" w:rsidRPr="00BA795A">
        <w:rPr>
          <w:rFonts w:ascii="Times New Roman" w:hAnsi="Times New Roman" w:cs="Times New Roman"/>
        </w:rPr>
        <w:t>incitament</w:t>
      </w:r>
      <w:r w:rsidRPr="00BA795A">
        <w:rPr>
          <w:rFonts w:ascii="Times New Roman" w:hAnsi="Times New Roman" w:cs="Times New Roman"/>
        </w:rPr>
        <w:t>sprogram 2021/2024</w:t>
      </w:r>
      <w:r w:rsidR="004E6195" w:rsidRPr="00BA795A">
        <w:rPr>
          <w:rFonts w:ascii="Times New Roman" w:hAnsi="Times New Roman" w:cs="Times New Roman"/>
        </w:rPr>
        <w:t xml:space="preserve"> genom emission av teckningsoptioner</w:t>
      </w:r>
      <w:r w:rsidRPr="00BA795A">
        <w:rPr>
          <w:rFonts w:ascii="Times New Roman" w:hAnsi="Times New Roman" w:cs="Times New Roman"/>
        </w:rPr>
        <w:t>, vilket kommer att omfatta VD</w:t>
      </w:r>
      <w:r w:rsidR="00590F99" w:rsidRPr="00BA795A">
        <w:rPr>
          <w:rFonts w:ascii="Times New Roman" w:hAnsi="Times New Roman" w:cs="Times New Roman"/>
        </w:rPr>
        <w:t xml:space="preserve"> och vissa nyckelpersoner i </w:t>
      </w:r>
      <w:r w:rsidR="007B2030">
        <w:rPr>
          <w:rFonts w:ascii="Times New Roman" w:hAnsi="Times New Roman" w:cs="Times New Roman"/>
        </w:rPr>
        <w:t>bolaget</w:t>
      </w:r>
      <w:r w:rsidR="000B3188" w:rsidRPr="00BA795A">
        <w:rPr>
          <w:rFonts w:ascii="Times New Roman" w:hAnsi="Times New Roman" w:cs="Times New Roman"/>
        </w:rPr>
        <w:t>, på nedanstående villkor</w:t>
      </w:r>
      <w:r w:rsidRPr="00BA795A">
        <w:rPr>
          <w:rFonts w:ascii="Times New Roman" w:hAnsi="Times New Roman" w:cs="Times New Roman"/>
        </w:rPr>
        <w:t xml:space="preserve">. </w:t>
      </w:r>
    </w:p>
    <w:p w14:paraId="1F039DAB" w14:textId="2C1A4E04" w:rsidR="00066F28" w:rsidRPr="00BA795A" w:rsidRDefault="00066F28" w:rsidP="00066F28">
      <w:pPr>
        <w:ind w:left="0"/>
        <w:rPr>
          <w:rFonts w:ascii="Times New Roman" w:hAnsi="Times New Roman" w:cs="Times New Roman"/>
        </w:rPr>
      </w:pPr>
      <w:r w:rsidRPr="00BA795A">
        <w:rPr>
          <w:rFonts w:ascii="Times New Roman" w:hAnsi="Times New Roman" w:cs="Times New Roman"/>
        </w:rPr>
        <w:t>Motivet för incitamentsprogram</w:t>
      </w:r>
      <w:r w:rsidR="00BE2A4A" w:rsidRPr="00BA795A">
        <w:rPr>
          <w:rFonts w:ascii="Times New Roman" w:hAnsi="Times New Roman" w:cs="Times New Roman"/>
        </w:rPr>
        <w:t>met</w:t>
      </w:r>
      <w:r w:rsidRPr="00BA795A">
        <w:rPr>
          <w:rFonts w:ascii="Times New Roman" w:hAnsi="Times New Roman" w:cs="Times New Roman"/>
        </w:rPr>
        <w:t xml:space="preserve"> </w:t>
      </w:r>
      <w:r w:rsidR="00BE2A4A" w:rsidRPr="00BA795A">
        <w:rPr>
          <w:rFonts w:ascii="Times New Roman" w:hAnsi="Times New Roman" w:cs="Times New Roman"/>
        </w:rPr>
        <w:t>är att</w:t>
      </w:r>
      <w:r w:rsidR="00590F99" w:rsidRPr="00BA795A">
        <w:rPr>
          <w:rFonts w:ascii="Times New Roman" w:hAnsi="Times New Roman" w:cs="Times New Roman"/>
        </w:rPr>
        <w:t xml:space="preserve"> vissa nyckelpersoner</w:t>
      </w:r>
      <w:r w:rsidRPr="00BA795A">
        <w:rPr>
          <w:rFonts w:ascii="Times New Roman" w:hAnsi="Times New Roman" w:cs="Times New Roman"/>
        </w:rPr>
        <w:t xml:space="preserve"> i </w:t>
      </w:r>
      <w:r w:rsidR="007B2030">
        <w:rPr>
          <w:rFonts w:ascii="Times New Roman" w:hAnsi="Times New Roman" w:cs="Times New Roman"/>
        </w:rPr>
        <w:t>bolaget</w:t>
      </w:r>
      <w:r w:rsidRPr="00BA795A">
        <w:rPr>
          <w:rFonts w:ascii="Times New Roman" w:hAnsi="Times New Roman" w:cs="Times New Roman"/>
        </w:rPr>
        <w:t xml:space="preserve"> erbjuds möjlighet att ta del </w:t>
      </w:r>
      <w:r w:rsidR="007B2030">
        <w:rPr>
          <w:rFonts w:ascii="Times New Roman" w:hAnsi="Times New Roman" w:cs="Times New Roman"/>
        </w:rPr>
        <w:t xml:space="preserve">av </w:t>
      </w:r>
      <w:r w:rsidRPr="00BA795A">
        <w:rPr>
          <w:rFonts w:ascii="Times New Roman" w:hAnsi="Times New Roman" w:cs="Times New Roman"/>
        </w:rPr>
        <w:t xml:space="preserve">en positiv utveckling i </w:t>
      </w:r>
      <w:r w:rsidR="007B2030">
        <w:rPr>
          <w:rFonts w:ascii="Times New Roman" w:hAnsi="Times New Roman" w:cs="Times New Roman"/>
        </w:rPr>
        <w:t>bolaget</w:t>
      </w:r>
      <w:r w:rsidRPr="00BA795A">
        <w:rPr>
          <w:rFonts w:ascii="Times New Roman" w:hAnsi="Times New Roman" w:cs="Times New Roman"/>
        </w:rPr>
        <w:t xml:space="preserve"> genom ägande. Sådant ägande bedöms öka motivationen samt </w:t>
      </w:r>
      <w:r w:rsidR="00590F99" w:rsidRPr="00BA795A">
        <w:rPr>
          <w:rFonts w:ascii="Times New Roman" w:hAnsi="Times New Roman" w:cs="Times New Roman"/>
        </w:rPr>
        <w:t xml:space="preserve">attrahera och </w:t>
      </w:r>
      <w:r w:rsidRPr="00BA795A">
        <w:rPr>
          <w:rFonts w:ascii="Times New Roman" w:hAnsi="Times New Roman" w:cs="Times New Roman"/>
        </w:rPr>
        <w:t>behålla person</w:t>
      </w:r>
      <w:r w:rsidR="00590F99" w:rsidRPr="00BA795A">
        <w:rPr>
          <w:rFonts w:ascii="Times New Roman" w:hAnsi="Times New Roman" w:cs="Times New Roman"/>
        </w:rPr>
        <w:t>er</w:t>
      </w:r>
      <w:r w:rsidRPr="00BA795A">
        <w:rPr>
          <w:rFonts w:ascii="Times New Roman" w:hAnsi="Times New Roman" w:cs="Times New Roman"/>
        </w:rPr>
        <w:t xml:space="preserve"> med för </w:t>
      </w:r>
      <w:r w:rsidR="007B2030">
        <w:rPr>
          <w:rFonts w:ascii="Times New Roman" w:hAnsi="Times New Roman" w:cs="Times New Roman"/>
        </w:rPr>
        <w:t>bolaget</w:t>
      </w:r>
      <w:r w:rsidRPr="00BA795A">
        <w:rPr>
          <w:rFonts w:ascii="Times New Roman" w:hAnsi="Times New Roman" w:cs="Times New Roman"/>
        </w:rPr>
        <w:t xml:space="preserve"> viktig kompetens och erfarenhet. Sammantaget är det styrelsens bedömning att införandet av optionsprogrammet är till fördel för såväl </w:t>
      </w:r>
      <w:r w:rsidR="007B2030">
        <w:rPr>
          <w:rFonts w:ascii="Times New Roman" w:hAnsi="Times New Roman" w:cs="Times New Roman"/>
        </w:rPr>
        <w:t>bolaget</w:t>
      </w:r>
      <w:r w:rsidRPr="00BA795A">
        <w:rPr>
          <w:rFonts w:ascii="Times New Roman" w:hAnsi="Times New Roman" w:cs="Times New Roman"/>
        </w:rPr>
        <w:t xml:space="preserve"> som dess aktieägare.</w:t>
      </w:r>
    </w:p>
    <w:p w14:paraId="37BD3E08" w14:textId="77777777" w:rsidR="00BE2A4A" w:rsidRPr="00BA795A" w:rsidRDefault="00BE2A4A" w:rsidP="00BE2A4A">
      <w:pPr>
        <w:ind w:left="0"/>
        <w:rPr>
          <w:rFonts w:ascii="Times New Roman" w:eastAsiaTheme="minorHAnsi" w:hAnsi="Times New Roman" w:cs="Times New Roman"/>
          <w:i/>
          <w:u w:val="single"/>
        </w:rPr>
      </w:pPr>
      <w:r w:rsidRPr="00BA795A">
        <w:rPr>
          <w:rFonts w:ascii="Times New Roman" w:eastAsiaTheme="minorHAnsi" w:hAnsi="Times New Roman" w:cs="Times New Roman"/>
          <w:i/>
          <w:u w:val="single"/>
        </w:rPr>
        <w:t>Emission av teckningsoptioner</w:t>
      </w:r>
    </w:p>
    <w:p w14:paraId="08BEB1F4" w14:textId="066234DB" w:rsidR="008B242D" w:rsidRPr="00BA795A" w:rsidRDefault="008B242D" w:rsidP="00066F28">
      <w:pPr>
        <w:ind w:left="0"/>
        <w:rPr>
          <w:rFonts w:ascii="Times New Roman" w:hAnsi="Times New Roman" w:cs="Times New Roman"/>
        </w:rPr>
      </w:pPr>
      <w:r w:rsidRPr="00BA795A">
        <w:rPr>
          <w:rFonts w:ascii="Times New Roman" w:hAnsi="Times New Roman" w:cs="Times New Roman"/>
        </w:rPr>
        <w:t xml:space="preserve">Emissionen, vilket omfattar högst </w:t>
      </w:r>
      <w:r w:rsidR="000365BA" w:rsidRPr="00BA795A">
        <w:rPr>
          <w:rFonts w:ascii="Times New Roman" w:hAnsi="Times New Roman" w:cs="Times New Roman"/>
        </w:rPr>
        <w:t xml:space="preserve">473 729 </w:t>
      </w:r>
      <w:r w:rsidRPr="00BA795A">
        <w:rPr>
          <w:rFonts w:ascii="Times New Roman" w:hAnsi="Times New Roman" w:cs="Times New Roman"/>
        </w:rPr>
        <w:t>teckningsoptioner av serie 2021/2024, ska ske med avvikelse från aktieägarnas företrädesrätt och på följande villkor.</w:t>
      </w:r>
    </w:p>
    <w:p w14:paraId="4D4417DC" w14:textId="3D3C5D45" w:rsidR="008B242D" w:rsidRPr="00BA795A" w:rsidRDefault="008B242D" w:rsidP="008B242D">
      <w:pPr>
        <w:pStyle w:val="Liststycke"/>
        <w:numPr>
          <w:ilvl w:val="0"/>
          <w:numId w:val="3"/>
        </w:numPr>
        <w:rPr>
          <w:rFonts w:ascii="Times New Roman" w:hAnsi="Times New Roman" w:cs="Times New Roman"/>
          <w:b/>
          <w:bCs/>
        </w:rPr>
      </w:pPr>
      <w:r w:rsidRPr="00BA795A">
        <w:rPr>
          <w:rFonts w:ascii="Times New Roman" w:hAnsi="Times New Roman" w:cs="Times New Roman"/>
          <w:b/>
          <w:bCs/>
        </w:rPr>
        <w:t>Antal emitterade teckningsoptioner</w:t>
      </w:r>
    </w:p>
    <w:p w14:paraId="4FD2EF1D" w14:textId="008FF9C6" w:rsidR="008B242D" w:rsidRPr="00BA795A" w:rsidRDefault="008B242D" w:rsidP="008B242D">
      <w:pPr>
        <w:pStyle w:val="Liststycke"/>
        <w:ind w:left="360"/>
        <w:rPr>
          <w:rFonts w:ascii="Times New Roman" w:hAnsi="Times New Roman" w:cs="Times New Roman"/>
        </w:rPr>
      </w:pPr>
      <w:r w:rsidRPr="00BA795A">
        <w:rPr>
          <w:rFonts w:ascii="Times New Roman" w:hAnsi="Times New Roman" w:cs="Times New Roman"/>
        </w:rPr>
        <w:t xml:space="preserve">Bolaget ska emittera högst </w:t>
      </w:r>
      <w:r w:rsidR="000365BA" w:rsidRPr="00BA795A">
        <w:rPr>
          <w:rFonts w:ascii="Times New Roman" w:hAnsi="Times New Roman" w:cs="Times New Roman"/>
        </w:rPr>
        <w:t xml:space="preserve">473 729 </w:t>
      </w:r>
      <w:r w:rsidRPr="00BA795A">
        <w:rPr>
          <w:rFonts w:ascii="Times New Roman" w:hAnsi="Times New Roman" w:cs="Times New Roman"/>
        </w:rPr>
        <w:t xml:space="preserve">teckningsoptioner. Varje teckningsoption berättigar till teckning av en (1) ny aktie i </w:t>
      </w:r>
      <w:r w:rsidR="007B2030">
        <w:rPr>
          <w:rFonts w:ascii="Times New Roman" w:hAnsi="Times New Roman" w:cs="Times New Roman"/>
        </w:rPr>
        <w:t>bolaget</w:t>
      </w:r>
      <w:r w:rsidRPr="00BA795A">
        <w:rPr>
          <w:rFonts w:ascii="Times New Roman" w:hAnsi="Times New Roman" w:cs="Times New Roman"/>
        </w:rPr>
        <w:t>.</w:t>
      </w:r>
    </w:p>
    <w:p w14:paraId="7537C28A" w14:textId="77777777" w:rsidR="008B242D" w:rsidRPr="00BA795A" w:rsidRDefault="008B242D" w:rsidP="008B242D">
      <w:pPr>
        <w:pStyle w:val="Liststycke"/>
        <w:ind w:left="360"/>
        <w:rPr>
          <w:rFonts w:ascii="Times New Roman" w:hAnsi="Times New Roman" w:cs="Times New Roman"/>
        </w:rPr>
      </w:pPr>
    </w:p>
    <w:p w14:paraId="53EFFD3D" w14:textId="66E32033" w:rsidR="008B242D" w:rsidRPr="00BA795A" w:rsidRDefault="008B242D" w:rsidP="008B242D">
      <w:pPr>
        <w:pStyle w:val="Liststycke"/>
        <w:numPr>
          <w:ilvl w:val="0"/>
          <w:numId w:val="3"/>
        </w:numPr>
        <w:rPr>
          <w:rFonts w:ascii="Times New Roman" w:hAnsi="Times New Roman" w:cs="Times New Roman"/>
          <w:b/>
          <w:bCs/>
        </w:rPr>
      </w:pPr>
      <w:r w:rsidRPr="00BA795A">
        <w:rPr>
          <w:rFonts w:ascii="Times New Roman" w:hAnsi="Times New Roman" w:cs="Times New Roman"/>
          <w:b/>
          <w:bCs/>
        </w:rPr>
        <w:t>Teckningsrätt och tilldelning</w:t>
      </w:r>
    </w:p>
    <w:p w14:paraId="6B18195F" w14:textId="02B18B1D" w:rsidR="008B242D" w:rsidRPr="00BA795A" w:rsidRDefault="00D713CC" w:rsidP="00D713CC">
      <w:pPr>
        <w:pStyle w:val="Liststycke"/>
        <w:ind w:left="360"/>
        <w:rPr>
          <w:rFonts w:ascii="Times New Roman" w:hAnsi="Times New Roman" w:cs="Times New Roman"/>
        </w:rPr>
      </w:pPr>
      <w:r w:rsidRPr="00BA795A">
        <w:rPr>
          <w:rFonts w:ascii="Times New Roman" w:hAnsi="Times New Roman" w:cs="Times New Roman"/>
        </w:rPr>
        <w:t xml:space="preserve">Rätt att teckna teckningsoptionerna ska, med avvikelse från aktieägarnas företrädesrätt, tillkomma </w:t>
      </w:r>
      <w:r w:rsidR="004E6195" w:rsidRPr="00BA795A">
        <w:rPr>
          <w:rFonts w:ascii="Times New Roman" w:hAnsi="Times New Roman" w:cs="Times New Roman"/>
        </w:rPr>
        <w:t xml:space="preserve">VD och </w:t>
      </w:r>
      <w:r w:rsidRPr="00BA795A">
        <w:rPr>
          <w:rFonts w:ascii="Times New Roman" w:hAnsi="Times New Roman" w:cs="Times New Roman"/>
        </w:rPr>
        <w:t>vissa</w:t>
      </w:r>
      <w:r w:rsidR="004E6195" w:rsidRPr="00BA795A">
        <w:rPr>
          <w:rFonts w:ascii="Times New Roman" w:hAnsi="Times New Roman" w:cs="Times New Roman"/>
        </w:rPr>
        <w:t xml:space="preserve"> andra</w:t>
      </w:r>
      <w:r w:rsidRPr="00BA795A">
        <w:rPr>
          <w:rFonts w:ascii="Times New Roman" w:hAnsi="Times New Roman" w:cs="Times New Roman"/>
        </w:rPr>
        <w:t xml:space="preserve"> nyckelpersoner i </w:t>
      </w:r>
      <w:r w:rsidR="007B2030">
        <w:rPr>
          <w:rFonts w:ascii="Times New Roman" w:hAnsi="Times New Roman" w:cs="Times New Roman"/>
        </w:rPr>
        <w:t>bolaget</w:t>
      </w:r>
      <w:r w:rsidRPr="00BA795A">
        <w:rPr>
          <w:rFonts w:ascii="Times New Roman" w:hAnsi="Times New Roman" w:cs="Times New Roman"/>
        </w:rPr>
        <w:t xml:space="preserve">, samt även nyckelpersoner som arbetar för </w:t>
      </w:r>
      <w:r w:rsidR="007B2030">
        <w:rPr>
          <w:rFonts w:ascii="Times New Roman" w:hAnsi="Times New Roman" w:cs="Times New Roman"/>
        </w:rPr>
        <w:t>bolaget</w:t>
      </w:r>
      <w:r w:rsidRPr="00BA795A">
        <w:rPr>
          <w:rFonts w:ascii="Times New Roman" w:hAnsi="Times New Roman" w:cs="Times New Roman"/>
        </w:rPr>
        <w:t xml:space="preserve"> eller dotterbolag till </w:t>
      </w:r>
      <w:r w:rsidR="007B2030">
        <w:rPr>
          <w:rFonts w:ascii="Times New Roman" w:hAnsi="Times New Roman" w:cs="Times New Roman"/>
        </w:rPr>
        <w:t>bolaget</w:t>
      </w:r>
      <w:r w:rsidRPr="00BA795A">
        <w:rPr>
          <w:rFonts w:ascii="Times New Roman" w:hAnsi="Times New Roman" w:cs="Times New Roman"/>
        </w:rPr>
        <w:t xml:space="preserve"> utan att vara anställda.</w:t>
      </w:r>
    </w:p>
    <w:p w14:paraId="1482638A" w14:textId="693172FB" w:rsidR="004E6195" w:rsidRPr="00BA795A" w:rsidRDefault="004E6195" w:rsidP="00D713CC">
      <w:pPr>
        <w:pStyle w:val="Liststycke"/>
        <w:ind w:left="360"/>
        <w:rPr>
          <w:rFonts w:ascii="Times New Roman" w:hAnsi="Times New Roman" w:cs="Times New Roman"/>
        </w:rPr>
      </w:pPr>
    </w:p>
    <w:p w14:paraId="2914FCD3" w14:textId="38759A5F" w:rsidR="004E6195" w:rsidRPr="00BA795A" w:rsidRDefault="004E6195" w:rsidP="00D713CC">
      <w:pPr>
        <w:pStyle w:val="Liststycke"/>
        <w:ind w:left="360"/>
        <w:rPr>
          <w:rFonts w:ascii="Times New Roman" w:hAnsi="Times New Roman" w:cs="Times New Roman"/>
        </w:rPr>
      </w:pPr>
      <w:r w:rsidRPr="00BA795A">
        <w:rPr>
          <w:rFonts w:ascii="Times New Roman" w:hAnsi="Times New Roman" w:cs="Times New Roman"/>
        </w:rPr>
        <w:t xml:space="preserve">VD och övriga nyckelpersoner kommer att erbjudas att teckna teckningsoptioner av serie 2021/2024 enligt följande: </w:t>
      </w:r>
    </w:p>
    <w:p w14:paraId="4141F1AC" w14:textId="77777777" w:rsidR="008B242D" w:rsidRPr="00BA795A" w:rsidRDefault="008B242D" w:rsidP="008B242D">
      <w:pPr>
        <w:pStyle w:val="Liststycke"/>
        <w:ind w:left="360"/>
        <w:rPr>
          <w:rFonts w:ascii="Times New Roman" w:hAnsi="Times New Roman" w:cs="Times New Roman"/>
        </w:rPr>
      </w:pPr>
    </w:p>
    <w:p w14:paraId="6CC00F34" w14:textId="0CDFA3EB" w:rsidR="008B242D" w:rsidRPr="00BA795A" w:rsidRDefault="008B242D" w:rsidP="008B242D">
      <w:pPr>
        <w:pStyle w:val="Liststycke"/>
        <w:numPr>
          <w:ilvl w:val="0"/>
          <w:numId w:val="4"/>
        </w:numPr>
        <w:rPr>
          <w:rFonts w:ascii="Times New Roman" w:hAnsi="Times New Roman" w:cs="Times New Roman"/>
        </w:rPr>
      </w:pPr>
      <w:r w:rsidRPr="00BA795A">
        <w:rPr>
          <w:rFonts w:ascii="Times New Roman" w:hAnsi="Times New Roman" w:cs="Times New Roman"/>
        </w:rPr>
        <w:t xml:space="preserve">VD ska ha rätt att </w:t>
      </w:r>
      <w:r w:rsidR="004E6195" w:rsidRPr="00BA795A">
        <w:rPr>
          <w:rFonts w:ascii="Times New Roman" w:hAnsi="Times New Roman" w:cs="Times New Roman"/>
        </w:rPr>
        <w:t xml:space="preserve">teckna </w:t>
      </w:r>
      <w:r w:rsidRPr="00BA795A">
        <w:rPr>
          <w:rFonts w:ascii="Times New Roman" w:hAnsi="Times New Roman" w:cs="Times New Roman"/>
        </w:rPr>
        <w:t xml:space="preserve">högst </w:t>
      </w:r>
      <w:r w:rsidR="000365BA" w:rsidRPr="00BA795A">
        <w:rPr>
          <w:rFonts w:ascii="Times New Roman" w:hAnsi="Times New Roman" w:cs="Times New Roman"/>
        </w:rPr>
        <w:t xml:space="preserve">338 377 </w:t>
      </w:r>
      <w:r w:rsidRPr="00BA795A">
        <w:rPr>
          <w:rFonts w:ascii="Times New Roman" w:hAnsi="Times New Roman" w:cs="Times New Roman"/>
        </w:rPr>
        <w:t>teckningsoptioner.</w:t>
      </w:r>
    </w:p>
    <w:p w14:paraId="4F0ACE67" w14:textId="67E6279F" w:rsidR="008B242D" w:rsidRPr="00BA795A" w:rsidRDefault="008B242D" w:rsidP="008B242D">
      <w:pPr>
        <w:pStyle w:val="Liststycke"/>
        <w:numPr>
          <w:ilvl w:val="0"/>
          <w:numId w:val="4"/>
        </w:numPr>
        <w:rPr>
          <w:rFonts w:ascii="Times New Roman" w:hAnsi="Times New Roman" w:cs="Times New Roman"/>
        </w:rPr>
      </w:pPr>
      <w:r w:rsidRPr="00BA795A">
        <w:rPr>
          <w:rFonts w:ascii="Times New Roman" w:hAnsi="Times New Roman" w:cs="Times New Roman"/>
        </w:rPr>
        <w:t xml:space="preserve">Övriga nyckelpersoner </w:t>
      </w:r>
      <w:r w:rsidR="00D713CC" w:rsidRPr="00BA795A">
        <w:rPr>
          <w:rFonts w:ascii="Times New Roman" w:hAnsi="Times New Roman" w:cs="Times New Roman"/>
        </w:rPr>
        <w:t xml:space="preserve">ska ha rätt att </w:t>
      </w:r>
      <w:r w:rsidR="004E6195" w:rsidRPr="00BA795A">
        <w:rPr>
          <w:rFonts w:ascii="Times New Roman" w:hAnsi="Times New Roman" w:cs="Times New Roman"/>
        </w:rPr>
        <w:t xml:space="preserve">teckna </w:t>
      </w:r>
      <w:r w:rsidR="00D713CC" w:rsidRPr="00BA795A">
        <w:rPr>
          <w:rFonts w:ascii="Times New Roman" w:hAnsi="Times New Roman" w:cs="Times New Roman"/>
        </w:rPr>
        <w:t xml:space="preserve">högst </w:t>
      </w:r>
      <w:r w:rsidR="000365BA" w:rsidRPr="00BA795A">
        <w:rPr>
          <w:rFonts w:ascii="Times New Roman" w:hAnsi="Times New Roman" w:cs="Times New Roman"/>
        </w:rPr>
        <w:t xml:space="preserve">33 838 </w:t>
      </w:r>
      <w:r w:rsidRPr="00BA795A">
        <w:rPr>
          <w:rFonts w:ascii="Times New Roman" w:hAnsi="Times New Roman" w:cs="Times New Roman"/>
        </w:rPr>
        <w:t>teckningsoptioner vardera</w:t>
      </w:r>
      <w:r w:rsidR="004E6195" w:rsidRPr="00BA795A">
        <w:rPr>
          <w:rFonts w:ascii="Times New Roman" w:hAnsi="Times New Roman" w:cs="Times New Roman"/>
        </w:rPr>
        <w:t xml:space="preserve"> (maximalt 4 personer)</w:t>
      </w:r>
      <w:r w:rsidRPr="00BA795A">
        <w:rPr>
          <w:rFonts w:ascii="Times New Roman" w:hAnsi="Times New Roman" w:cs="Times New Roman"/>
        </w:rPr>
        <w:t>.</w:t>
      </w:r>
    </w:p>
    <w:p w14:paraId="6D7AE77F" w14:textId="77777777" w:rsidR="008B242D" w:rsidRPr="00BA795A" w:rsidRDefault="008B242D" w:rsidP="008B242D">
      <w:pPr>
        <w:pStyle w:val="Liststycke"/>
        <w:ind w:left="360"/>
        <w:rPr>
          <w:rFonts w:ascii="Times New Roman" w:hAnsi="Times New Roman" w:cs="Times New Roman"/>
        </w:rPr>
      </w:pPr>
    </w:p>
    <w:p w14:paraId="65A17713" w14:textId="5F9E31A8" w:rsidR="00686EEF" w:rsidRPr="00BA795A" w:rsidRDefault="008B242D" w:rsidP="00686EEF">
      <w:pPr>
        <w:pStyle w:val="Liststycke"/>
        <w:ind w:left="360"/>
        <w:rPr>
          <w:rFonts w:ascii="Times New Roman" w:hAnsi="Times New Roman" w:cs="Times New Roman"/>
          <w:b/>
          <w:bCs/>
        </w:rPr>
      </w:pPr>
      <w:r w:rsidRPr="00BA795A">
        <w:rPr>
          <w:rFonts w:ascii="Times New Roman" w:hAnsi="Times New Roman" w:cs="Times New Roman"/>
        </w:rPr>
        <w:t>Deltagarna kan välja att teckna sig för ett lägre antal teckningsoptioner än vad som anges ovan.</w:t>
      </w:r>
      <w:r w:rsidR="00AD5405" w:rsidRPr="00BA795A">
        <w:rPr>
          <w:rFonts w:ascii="Times New Roman" w:hAnsi="Times New Roman" w:cs="Times New Roman"/>
        </w:rPr>
        <w:t xml:space="preserve"> Teckningsoptioner som inte tecknats vid teckningstidens utgång får tecknas av </w:t>
      </w:r>
      <w:r w:rsidR="007B2030">
        <w:rPr>
          <w:rFonts w:ascii="Times New Roman" w:hAnsi="Times New Roman" w:cs="Times New Roman"/>
        </w:rPr>
        <w:t>bolaget</w:t>
      </w:r>
      <w:r w:rsidR="005E5313" w:rsidRPr="00BA795A">
        <w:rPr>
          <w:rFonts w:ascii="Times New Roman" w:hAnsi="Times New Roman" w:cs="Times New Roman"/>
        </w:rPr>
        <w:t xml:space="preserve"> för efterföljande överlåtelse till tillkommande nyckelpersoner på</w:t>
      </w:r>
      <w:r w:rsidR="00AD5405" w:rsidRPr="00BA795A">
        <w:rPr>
          <w:rFonts w:ascii="Times New Roman" w:hAnsi="Times New Roman" w:cs="Times New Roman"/>
        </w:rPr>
        <w:t xml:space="preserve"> motsvarande villkor som övriga teckningsoptioner.</w:t>
      </w:r>
    </w:p>
    <w:p w14:paraId="1ECB24DB" w14:textId="42D5787F" w:rsidR="001922FA" w:rsidRPr="00BA795A" w:rsidRDefault="001922FA" w:rsidP="001922FA">
      <w:pPr>
        <w:pStyle w:val="Liststycke"/>
        <w:ind w:left="360"/>
        <w:rPr>
          <w:rFonts w:ascii="Times New Roman" w:hAnsi="Times New Roman" w:cs="Times New Roman"/>
          <w:b/>
          <w:bCs/>
        </w:rPr>
      </w:pPr>
    </w:p>
    <w:p w14:paraId="1E995D03" w14:textId="49DE1C3F" w:rsidR="008B242D" w:rsidRPr="00BA795A" w:rsidRDefault="008B242D" w:rsidP="008B242D">
      <w:pPr>
        <w:pStyle w:val="Liststycke"/>
        <w:numPr>
          <w:ilvl w:val="0"/>
          <w:numId w:val="3"/>
        </w:numPr>
        <w:rPr>
          <w:rFonts w:ascii="Times New Roman" w:hAnsi="Times New Roman" w:cs="Times New Roman"/>
          <w:b/>
          <w:bCs/>
        </w:rPr>
      </w:pPr>
      <w:r w:rsidRPr="00BA795A">
        <w:rPr>
          <w:rFonts w:ascii="Times New Roman" w:hAnsi="Times New Roman" w:cs="Times New Roman"/>
          <w:b/>
          <w:bCs/>
        </w:rPr>
        <w:t>Emissionskurs</w:t>
      </w:r>
    </w:p>
    <w:p w14:paraId="6ED5596F" w14:textId="10840EC4" w:rsidR="00995EDE" w:rsidRPr="00BA795A" w:rsidRDefault="008B242D" w:rsidP="00995EDE">
      <w:pPr>
        <w:pStyle w:val="Liststycke"/>
        <w:ind w:left="360"/>
        <w:rPr>
          <w:rFonts w:ascii="Times New Roman" w:hAnsi="Times New Roman" w:cs="Times New Roman"/>
        </w:rPr>
      </w:pPr>
      <w:r w:rsidRPr="00BA795A">
        <w:rPr>
          <w:rFonts w:ascii="Times New Roman" w:hAnsi="Times New Roman" w:cs="Times New Roman"/>
        </w:rPr>
        <w:t xml:space="preserve">Teckningsoptionerna emitteras till en kurs </w:t>
      </w:r>
      <w:r w:rsidR="005F28B3" w:rsidRPr="00BA795A">
        <w:rPr>
          <w:rFonts w:ascii="Times New Roman" w:hAnsi="Times New Roman" w:cs="Times New Roman"/>
        </w:rPr>
        <w:t xml:space="preserve">motsvarande ett beräknat marknadsvärde för teckningsoptionerna med tillämpning av Black &amp; Scholes optionsvärderingsmodell baserat på en teckningskurs för aktie vid utnyttjande av teckningsoptionerna om </w:t>
      </w:r>
      <w:r w:rsidR="006E5F77" w:rsidRPr="00BA795A">
        <w:rPr>
          <w:rFonts w:ascii="Times New Roman" w:hAnsi="Times New Roman" w:cs="Times New Roman"/>
        </w:rPr>
        <w:t>14 kronor per aktie</w:t>
      </w:r>
      <w:r w:rsidR="00995EDE" w:rsidRPr="00BA795A">
        <w:rPr>
          <w:rFonts w:ascii="Times New Roman" w:hAnsi="Times New Roman" w:cs="Times New Roman"/>
        </w:rPr>
        <w:t>.</w:t>
      </w:r>
      <w:r w:rsidR="00686EEF" w:rsidRPr="00BA795A">
        <w:rPr>
          <w:rFonts w:ascii="Times New Roman" w:hAnsi="Times New Roman" w:cs="Times New Roman"/>
        </w:rPr>
        <w:t xml:space="preserve"> Teckningsoptionerna ska emitteras vederlagsfritt till bolaget självt. Överlåtelsen av teckningsoptioner från bolaget till tillkommande nyckelpersoner ska ske mot betalning av en premie motsvarande teckningsoptionernas marknadsvärde per dagen för överlåtelsen, beräknat med tillämpning av Black &amp; Scholes optionsvärderingsmodell. </w:t>
      </w:r>
    </w:p>
    <w:p w14:paraId="35373C76" w14:textId="77777777" w:rsidR="00FB0F82" w:rsidRPr="00BA795A" w:rsidRDefault="00FB0F82" w:rsidP="00995EDE">
      <w:pPr>
        <w:pStyle w:val="Liststycke"/>
        <w:ind w:left="360"/>
        <w:rPr>
          <w:rFonts w:ascii="Times New Roman" w:hAnsi="Times New Roman" w:cs="Times New Roman"/>
        </w:rPr>
      </w:pPr>
    </w:p>
    <w:p w14:paraId="0606A6CF" w14:textId="1F5CC68D" w:rsidR="00995EDE" w:rsidRPr="00BA795A" w:rsidRDefault="00995EDE" w:rsidP="00AD5405">
      <w:pPr>
        <w:pStyle w:val="Liststycke"/>
        <w:keepNext/>
        <w:numPr>
          <w:ilvl w:val="0"/>
          <w:numId w:val="3"/>
        </w:numPr>
        <w:ind w:left="357" w:hanging="357"/>
        <w:rPr>
          <w:rFonts w:ascii="Times New Roman" w:hAnsi="Times New Roman" w:cs="Times New Roman"/>
          <w:b/>
          <w:bCs/>
        </w:rPr>
      </w:pPr>
      <w:r w:rsidRPr="00BA795A">
        <w:rPr>
          <w:rFonts w:ascii="Times New Roman" w:hAnsi="Times New Roman" w:cs="Times New Roman"/>
          <w:b/>
          <w:bCs/>
        </w:rPr>
        <w:t>Tid för teckning</w:t>
      </w:r>
    </w:p>
    <w:p w14:paraId="5CFD4C01" w14:textId="12C9BBE2" w:rsidR="00995EDE" w:rsidRPr="00BA795A" w:rsidRDefault="00995EDE" w:rsidP="00995EDE">
      <w:pPr>
        <w:pStyle w:val="Liststycke"/>
        <w:ind w:left="360"/>
        <w:rPr>
          <w:rFonts w:ascii="Times New Roman" w:eastAsia="Calibri" w:hAnsi="Times New Roman" w:cs="Times New Roman"/>
        </w:rPr>
      </w:pPr>
      <w:r w:rsidRPr="00BA795A">
        <w:rPr>
          <w:rFonts w:ascii="Times New Roman" w:hAnsi="Times New Roman" w:cs="Times New Roman"/>
        </w:rPr>
        <w:t>Teckningsoptionerna ska tecknas på separat teckningslista senast den 30 juni 2021. Styrelsen ska äga rätt att förlänga teckningstiden.</w:t>
      </w:r>
    </w:p>
    <w:p w14:paraId="5AF2FBFD" w14:textId="77777777" w:rsidR="00995EDE" w:rsidRPr="00BA795A" w:rsidRDefault="00995EDE" w:rsidP="00995EDE">
      <w:pPr>
        <w:pStyle w:val="Liststycke"/>
        <w:ind w:left="360"/>
        <w:rPr>
          <w:rFonts w:ascii="Times New Roman" w:eastAsia="Calibri" w:hAnsi="Times New Roman" w:cs="Times New Roman"/>
        </w:rPr>
      </w:pPr>
    </w:p>
    <w:p w14:paraId="6715D59B" w14:textId="77777777" w:rsidR="00A13019" w:rsidRPr="00BA795A" w:rsidRDefault="00A13019" w:rsidP="00A13019">
      <w:pPr>
        <w:pStyle w:val="Liststycke"/>
        <w:keepNext/>
        <w:numPr>
          <w:ilvl w:val="0"/>
          <w:numId w:val="3"/>
        </w:numPr>
        <w:ind w:left="357" w:hanging="357"/>
        <w:rPr>
          <w:rFonts w:ascii="Times New Roman" w:hAnsi="Times New Roman" w:cs="Times New Roman"/>
          <w:b/>
          <w:bCs/>
        </w:rPr>
      </w:pPr>
      <w:r w:rsidRPr="00BA795A">
        <w:rPr>
          <w:rFonts w:ascii="Times New Roman" w:hAnsi="Times New Roman" w:cs="Times New Roman"/>
          <w:b/>
          <w:bCs/>
        </w:rPr>
        <w:t>Tilldelningsbeslut och betalning</w:t>
      </w:r>
    </w:p>
    <w:p w14:paraId="4BB09032" w14:textId="19D85600" w:rsidR="00A13019" w:rsidRPr="00BA795A" w:rsidRDefault="00691D1A" w:rsidP="00A13019">
      <w:pPr>
        <w:pStyle w:val="Liststycke"/>
        <w:keepNext/>
        <w:ind w:left="357"/>
        <w:rPr>
          <w:rFonts w:ascii="Times New Roman" w:hAnsi="Times New Roman" w:cs="Times New Roman"/>
        </w:rPr>
      </w:pPr>
      <w:r w:rsidRPr="00BA795A">
        <w:rPr>
          <w:rFonts w:ascii="Times New Roman" w:hAnsi="Times New Roman" w:cs="Times New Roman"/>
        </w:rPr>
        <w:t>Beslut om tilldelning av teckningsoptioner</w:t>
      </w:r>
      <w:r w:rsidR="00A13019" w:rsidRPr="00BA795A">
        <w:rPr>
          <w:rFonts w:ascii="Times New Roman" w:hAnsi="Times New Roman" w:cs="Times New Roman"/>
        </w:rPr>
        <w:t xml:space="preserve"> fattas snarast efter teckningstidens utgång och meddelas tecknare på eller omkring den 30 juni 2021. Betalning för de tecknade </w:t>
      </w:r>
      <w:r w:rsidR="00A13019" w:rsidRPr="00BA795A">
        <w:rPr>
          <w:rFonts w:ascii="Times New Roman" w:hAnsi="Times New Roman" w:cs="Times New Roman"/>
        </w:rPr>
        <w:lastRenderedPageBreak/>
        <w:t>teckningsoptionerna ska ske inom fyra (4) veckor efter teckning. Styrelsen äger rätt att förlänga tiden för betalning.</w:t>
      </w:r>
    </w:p>
    <w:p w14:paraId="4347E1C5" w14:textId="41BEE6C6" w:rsidR="006D7D01" w:rsidRPr="00BA795A" w:rsidRDefault="006D7D01" w:rsidP="00A13019">
      <w:pPr>
        <w:pStyle w:val="Liststycke"/>
        <w:keepNext/>
        <w:ind w:left="357"/>
        <w:rPr>
          <w:rFonts w:ascii="Times New Roman" w:hAnsi="Times New Roman" w:cs="Times New Roman"/>
        </w:rPr>
      </w:pPr>
    </w:p>
    <w:p w14:paraId="53A81A49" w14:textId="0C6E7F38" w:rsidR="006D7D01" w:rsidRPr="00BA795A" w:rsidRDefault="006D7D01" w:rsidP="00A13019">
      <w:pPr>
        <w:pStyle w:val="Liststycke"/>
        <w:keepNext/>
        <w:ind w:left="357"/>
        <w:rPr>
          <w:rFonts w:ascii="Times New Roman" w:hAnsi="Times New Roman" w:cs="Times New Roman"/>
        </w:rPr>
      </w:pPr>
      <w:r w:rsidRPr="00BA795A">
        <w:rPr>
          <w:rFonts w:ascii="Times New Roman" w:hAnsi="Times New Roman" w:cs="Times New Roman"/>
        </w:rPr>
        <w:t>En förutsättning för tilldelning</w:t>
      </w:r>
      <w:r w:rsidR="005E5313" w:rsidRPr="00BA795A">
        <w:rPr>
          <w:rFonts w:ascii="Times New Roman" w:hAnsi="Times New Roman" w:cs="Times New Roman"/>
        </w:rPr>
        <w:t xml:space="preserve"> är att deltagarna</w:t>
      </w:r>
      <w:r w:rsidRPr="00BA795A">
        <w:rPr>
          <w:rFonts w:ascii="Times New Roman" w:hAnsi="Times New Roman" w:cs="Times New Roman"/>
        </w:rPr>
        <w:t xml:space="preserve"> dessförinnan ingått ett s.k. hembudsavtal enligt vilket deltagarna ska vara förpliktade att erbjuda </w:t>
      </w:r>
      <w:r w:rsidR="007B2030">
        <w:rPr>
          <w:rFonts w:ascii="Times New Roman" w:hAnsi="Times New Roman" w:cs="Times New Roman"/>
        </w:rPr>
        <w:t>bolaget</w:t>
      </w:r>
      <w:r w:rsidRPr="00BA795A">
        <w:rPr>
          <w:rFonts w:ascii="Times New Roman" w:hAnsi="Times New Roman" w:cs="Times New Roman"/>
        </w:rPr>
        <w:t xml:space="preserve"> att förvärva teckningsoptionerna, eller viss del av dessa, om anställningen upphör eller om teckningsoptionerna ska överlåtas till tredje man.</w:t>
      </w:r>
    </w:p>
    <w:p w14:paraId="68357D53" w14:textId="77777777" w:rsidR="00A13019" w:rsidRPr="00BA795A" w:rsidRDefault="00A13019" w:rsidP="001C0A67">
      <w:pPr>
        <w:pStyle w:val="Liststycke"/>
        <w:keepNext/>
        <w:ind w:left="357"/>
        <w:rPr>
          <w:rFonts w:ascii="Times New Roman" w:hAnsi="Times New Roman" w:cs="Times New Roman"/>
          <w:b/>
          <w:bCs/>
        </w:rPr>
      </w:pPr>
    </w:p>
    <w:p w14:paraId="31EDDCE3" w14:textId="3F8EE6B5" w:rsidR="00995EDE" w:rsidRPr="00BA795A" w:rsidRDefault="00995EDE" w:rsidP="00B104C4">
      <w:pPr>
        <w:pStyle w:val="Liststycke"/>
        <w:keepNext/>
        <w:numPr>
          <w:ilvl w:val="0"/>
          <w:numId w:val="3"/>
        </w:numPr>
        <w:ind w:left="357" w:hanging="357"/>
        <w:rPr>
          <w:rFonts w:ascii="Times New Roman" w:hAnsi="Times New Roman" w:cs="Times New Roman"/>
          <w:b/>
          <w:bCs/>
        </w:rPr>
      </w:pPr>
      <w:r w:rsidRPr="00BA795A">
        <w:rPr>
          <w:rFonts w:ascii="Times New Roman" w:hAnsi="Times New Roman" w:cs="Times New Roman"/>
          <w:b/>
          <w:bCs/>
        </w:rPr>
        <w:t>Tid för utnyttjande av teckningsoptioner</w:t>
      </w:r>
    </w:p>
    <w:p w14:paraId="01D290B8" w14:textId="76E972A2" w:rsidR="00995EDE" w:rsidRPr="00BA795A" w:rsidRDefault="00995EDE" w:rsidP="00995EDE">
      <w:pPr>
        <w:pStyle w:val="Liststycke"/>
        <w:ind w:left="360"/>
        <w:rPr>
          <w:rFonts w:ascii="Times New Roman" w:hAnsi="Times New Roman" w:cs="Times New Roman"/>
        </w:rPr>
      </w:pPr>
      <w:r w:rsidRPr="00BA795A">
        <w:rPr>
          <w:rFonts w:ascii="Times New Roman" w:hAnsi="Times New Roman" w:cs="Times New Roman"/>
        </w:rPr>
        <w:t xml:space="preserve">Teckningsoptionerna kan utnyttjas genom anmälan om teckning av nya aktier i enlighet med villkoren för teckningsoptionerna under perioden från och med den </w:t>
      </w:r>
      <w:r w:rsidR="006E5F77" w:rsidRPr="00BA795A">
        <w:rPr>
          <w:rFonts w:ascii="Times New Roman" w:hAnsi="Times New Roman" w:cs="Times New Roman"/>
        </w:rPr>
        <w:t xml:space="preserve">1 </w:t>
      </w:r>
      <w:r w:rsidRPr="00BA795A">
        <w:rPr>
          <w:rFonts w:ascii="Times New Roman" w:hAnsi="Times New Roman" w:cs="Times New Roman"/>
        </w:rPr>
        <w:t>maj 202</w:t>
      </w:r>
      <w:r w:rsidR="006E5F77" w:rsidRPr="00BA795A">
        <w:rPr>
          <w:rFonts w:ascii="Times New Roman" w:hAnsi="Times New Roman" w:cs="Times New Roman"/>
        </w:rPr>
        <w:t>4</w:t>
      </w:r>
      <w:r w:rsidRPr="00BA795A">
        <w:rPr>
          <w:rFonts w:ascii="Times New Roman" w:hAnsi="Times New Roman" w:cs="Times New Roman"/>
        </w:rPr>
        <w:t xml:space="preserve"> till och med den </w:t>
      </w:r>
      <w:r w:rsidR="006E5F77" w:rsidRPr="00BA795A">
        <w:rPr>
          <w:rFonts w:ascii="Times New Roman" w:hAnsi="Times New Roman" w:cs="Times New Roman"/>
        </w:rPr>
        <w:t>30 juni</w:t>
      </w:r>
      <w:r w:rsidRPr="00BA795A">
        <w:rPr>
          <w:rFonts w:ascii="Times New Roman" w:hAnsi="Times New Roman" w:cs="Times New Roman"/>
        </w:rPr>
        <w:t xml:space="preserve"> 2024.</w:t>
      </w:r>
    </w:p>
    <w:p w14:paraId="163C9873" w14:textId="1234240A" w:rsidR="00B104C4" w:rsidRPr="00BA795A" w:rsidRDefault="00B104C4" w:rsidP="00995EDE">
      <w:pPr>
        <w:pStyle w:val="Liststycke"/>
        <w:ind w:left="360"/>
        <w:rPr>
          <w:rFonts w:ascii="Times New Roman" w:hAnsi="Times New Roman" w:cs="Times New Roman"/>
        </w:rPr>
      </w:pPr>
    </w:p>
    <w:p w14:paraId="329D1FD6" w14:textId="77777777" w:rsidR="00B104C4" w:rsidRPr="00BA795A" w:rsidRDefault="00B104C4" w:rsidP="00B104C4">
      <w:pPr>
        <w:pStyle w:val="Liststycke"/>
        <w:keepNext/>
        <w:numPr>
          <w:ilvl w:val="0"/>
          <w:numId w:val="3"/>
        </w:numPr>
        <w:ind w:left="357" w:hanging="357"/>
        <w:rPr>
          <w:rFonts w:ascii="Times New Roman" w:hAnsi="Times New Roman" w:cs="Times New Roman"/>
          <w:b/>
          <w:bCs/>
        </w:rPr>
      </w:pPr>
      <w:r w:rsidRPr="00BA795A">
        <w:rPr>
          <w:rFonts w:ascii="Times New Roman" w:hAnsi="Times New Roman" w:cs="Times New Roman"/>
          <w:b/>
          <w:bCs/>
        </w:rPr>
        <w:t>Teckningskurs</w:t>
      </w:r>
    </w:p>
    <w:p w14:paraId="41076E06" w14:textId="4AC6DC03" w:rsidR="00B104C4" w:rsidRPr="00BA795A" w:rsidRDefault="00B104C4" w:rsidP="00995EDE">
      <w:pPr>
        <w:pStyle w:val="Liststycke"/>
        <w:ind w:left="360"/>
        <w:rPr>
          <w:rFonts w:ascii="Times New Roman" w:hAnsi="Times New Roman" w:cs="Times New Roman"/>
        </w:rPr>
      </w:pPr>
      <w:r w:rsidRPr="00BA795A">
        <w:rPr>
          <w:rFonts w:ascii="Times New Roman" w:hAnsi="Times New Roman" w:cs="Times New Roman"/>
        </w:rPr>
        <w:t xml:space="preserve">Varje teckningsoption ska medföra en rätt att teckna en (1) ny aktie i </w:t>
      </w:r>
      <w:r w:rsidR="007B2030">
        <w:rPr>
          <w:rFonts w:ascii="Times New Roman" w:hAnsi="Times New Roman" w:cs="Times New Roman"/>
        </w:rPr>
        <w:t>bolaget</w:t>
      </w:r>
      <w:r w:rsidRPr="00BA795A">
        <w:rPr>
          <w:rFonts w:ascii="Times New Roman" w:hAnsi="Times New Roman" w:cs="Times New Roman"/>
        </w:rPr>
        <w:t xml:space="preserve"> till en teckningskurs</w:t>
      </w:r>
      <w:r w:rsidR="0011546D" w:rsidRPr="00BA795A">
        <w:rPr>
          <w:rFonts w:ascii="Times New Roman" w:hAnsi="Times New Roman" w:cs="Times New Roman"/>
        </w:rPr>
        <w:t xml:space="preserve"> </w:t>
      </w:r>
      <w:r w:rsidRPr="00BA795A">
        <w:rPr>
          <w:rFonts w:ascii="Times New Roman" w:hAnsi="Times New Roman" w:cs="Times New Roman"/>
        </w:rPr>
        <w:t xml:space="preserve">om </w:t>
      </w:r>
      <w:r w:rsidR="0011546D" w:rsidRPr="00BA795A">
        <w:rPr>
          <w:rFonts w:ascii="Times New Roman" w:hAnsi="Times New Roman" w:cs="Times New Roman"/>
        </w:rPr>
        <w:t>14</w:t>
      </w:r>
      <w:r w:rsidRPr="00BA795A">
        <w:rPr>
          <w:rFonts w:ascii="Times New Roman" w:hAnsi="Times New Roman" w:cs="Times New Roman"/>
        </w:rPr>
        <w:t xml:space="preserve"> kronor</w:t>
      </w:r>
      <w:r w:rsidR="006E5F77" w:rsidRPr="00BA795A">
        <w:rPr>
          <w:rFonts w:ascii="Times New Roman" w:hAnsi="Times New Roman" w:cs="Times New Roman"/>
        </w:rPr>
        <w:t xml:space="preserve">, vilket </w:t>
      </w:r>
      <w:r w:rsidR="005F28B3" w:rsidRPr="00BA795A">
        <w:rPr>
          <w:rFonts w:ascii="Times New Roman" w:hAnsi="Times New Roman" w:cs="Times New Roman"/>
        </w:rPr>
        <w:t>motsvara</w:t>
      </w:r>
      <w:r w:rsidR="006E5F77" w:rsidRPr="00BA795A">
        <w:rPr>
          <w:rFonts w:ascii="Times New Roman" w:hAnsi="Times New Roman" w:cs="Times New Roman"/>
        </w:rPr>
        <w:t>r cirka</w:t>
      </w:r>
      <w:r w:rsidR="005F28B3" w:rsidRPr="00BA795A">
        <w:rPr>
          <w:rFonts w:ascii="Times New Roman" w:hAnsi="Times New Roman" w:cs="Times New Roman"/>
        </w:rPr>
        <w:t xml:space="preserve"> </w:t>
      </w:r>
      <w:r w:rsidR="0011546D" w:rsidRPr="00BA795A">
        <w:rPr>
          <w:rFonts w:ascii="Times New Roman" w:hAnsi="Times New Roman" w:cs="Times New Roman"/>
        </w:rPr>
        <w:t>18</w:t>
      </w:r>
      <w:r w:rsidR="006E5F77" w:rsidRPr="00BA795A">
        <w:rPr>
          <w:rFonts w:ascii="Times New Roman" w:hAnsi="Times New Roman" w:cs="Times New Roman"/>
        </w:rPr>
        <w:t>0</w:t>
      </w:r>
      <w:r w:rsidR="005F28B3" w:rsidRPr="00BA795A">
        <w:rPr>
          <w:rFonts w:ascii="Times New Roman" w:hAnsi="Times New Roman" w:cs="Times New Roman"/>
        </w:rPr>
        <w:t xml:space="preserve"> procent </w:t>
      </w:r>
      <w:r w:rsidR="005F28B3" w:rsidRPr="00BA795A">
        <w:rPr>
          <w:rFonts w:ascii="Times New Roman" w:eastAsia="Calibri" w:hAnsi="Times New Roman" w:cs="Times New Roman"/>
        </w:rPr>
        <w:t xml:space="preserve">av </w:t>
      </w:r>
      <w:r w:rsidR="005F28B3" w:rsidRPr="00BA795A">
        <w:rPr>
          <w:rFonts w:ascii="Times New Roman" w:hAnsi="Times New Roman" w:cs="Times New Roman"/>
        </w:rPr>
        <w:t xml:space="preserve">den volymvägda genomsnittliga betalkursen </w:t>
      </w:r>
      <w:r w:rsidR="005F28B3" w:rsidRPr="00BA795A">
        <w:rPr>
          <w:rFonts w:ascii="Times New Roman" w:eastAsia="Calibri" w:hAnsi="Times New Roman" w:cs="Times New Roman"/>
        </w:rPr>
        <w:t xml:space="preserve">för </w:t>
      </w:r>
      <w:r w:rsidR="007B2030">
        <w:rPr>
          <w:rFonts w:ascii="Times New Roman" w:eastAsia="Calibri" w:hAnsi="Times New Roman" w:cs="Times New Roman"/>
        </w:rPr>
        <w:t>bolaget</w:t>
      </w:r>
      <w:r w:rsidR="005F28B3" w:rsidRPr="00BA795A">
        <w:rPr>
          <w:rFonts w:ascii="Times New Roman" w:eastAsia="Calibri" w:hAnsi="Times New Roman" w:cs="Times New Roman"/>
        </w:rPr>
        <w:t>s aktie på Spotlight Stock</w:t>
      </w:r>
      <w:r w:rsidR="000B3188" w:rsidRPr="00BA795A">
        <w:rPr>
          <w:rFonts w:ascii="Times New Roman" w:eastAsia="Calibri" w:hAnsi="Times New Roman" w:cs="Times New Roman"/>
        </w:rPr>
        <w:t xml:space="preserve"> M</w:t>
      </w:r>
      <w:r w:rsidR="005F28B3" w:rsidRPr="00BA795A">
        <w:rPr>
          <w:rFonts w:ascii="Times New Roman" w:eastAsia="Calibri" w:hAnsi="Times New Roman" w:cs="Times New Roman"/>
        </w:rPr>
        <w:t xml:space="preserve">arket </w:t>
      </w:r>
      <w:r w:rsidR="006E5F77" w:rsidRPr="00BA795A">
        <w:rPr>
          <w:rFonts w:ascii="Times New Roman" w:eastAsia="Calibri" w:hAnsi="Times New Roman" w:cs="Times New Roman"/>
        </w:rPr>
        <w:t>vid tidpunkten för kallelsens utfärdande</w:t>
      </w:r>
      <w:r w:rsidRPr="00BA795A">
        <w:rPr>
          <w:rFonts w:ascii="Times New Roman" w:hAnsi="Times New Roman" w:cs="Times New Roman"/>
        </w:rPr>
        <w:t>.</w:t>
      </w:r>
      <w:r w:rsidR="00D713CC" w:rsidRPr="00BA795A">
        <w:rPr>
          <w:rFonts w:ascii="Times New Roman" w:hAnsi="Times New Roman" w:cs="Times New Roman"/>
        </w:rPr>
        <w:t xml:space="preserve"> </w:t>
      </w:r>
      <w:r w:rsidR="006E5F77" w:rsidRPr="00BA795A">
        <w:rPr>
          <w:rFonts w:ascii="Times New Roman" w:hAnsi="Times New Roman" w:cs="Times New Roman"/>
        </w:rPr>
        <w:t>Den del av</w:t>
      </w:r>
      <w:r w:rsidR="00D713CC" w:rsidRPr="00BA795A">
        <w:rPr>
          <w:rFonts w:ascii="Times New Roman" w:hAnsi="Times New Roman" w:cs="Times New Roman"/>
        </w:rPr>
        <w:t xml:space="preserve"> teckningskursen </w:t>
      </w:r>
      <w:r w:rsidR="006E5F77" w:rsidRPr="00BA795A">
        <w:rPr>
          <w:rFonts w:ascii="Times New Roman" w:hAnsi="Times New Roman" w:cs="Times New Roman"/>
        </w:rPr>
        <w:t xml:space="preserve">som </w:t>
      </w:r>
      <w:r w:rsidR="00D713CC" w:rsidRPr="00BA795A">
        <w:rPr>
          <w:rFonts w:ascii="Times New Roman" w:hAnsi="Times New Roman" w:cs="Times New Roman"/>
        </w:rPr>
        <w:t xml:space="preserve">överstiger de tidigare aktiernas kvotvärde </w:t>
      </w:r>
      <w:r w:rsidR="006E5F77" w:rsidRPr="00BA795A">
        <w:rPr>
          <w:rFonts w:ascii="Times New Roman" w:hAnsi="Times New Roman" w:cs="Times New Roman"/>
        </w:rPr>
        <w:t xml:space="preserve">(överkursen) </w:t>
      </w:r>
      <w:r w:rsidR="00D713CC" w:rsidRPr="00BA795A">
        <w:rPr>
          <w:rFonts w:ascii="Times New Roman" w:hAnsi="Times New Roman" w:cs="Times New Roman"/>
        </w:rPr>
        <w:t>ska</w:t>
      </w:r>
      <w:r w:rsidR="00FB0F82" w:rsidRPr="00BA795A">
        <w:rPr>
          <w:rFonts w:ascii="Times New Roman" w:hAnsi="Times New Roman" w:cs="Times New Roman"/>
        </w:rPr>
        <w:t xml:space="preserve"> </w:t>
      </w:r>
      <w:r w:rsidR="00D713CC" w:rsidRPr="00BA795A">
        <w:rPr>
          <w:rFonts w:ascii="Times New Roman" w:hAnsi="Times New Roman" w:cs="Times New Roman"/>
        </w:rPr>
        <w:t xml:space="preserve">tas upp under den fria överkursfonden i </w:t>
      </w:r>
      <w:r w:rsidR="007B2030">
        <w:rPr>
          <w:rFonts w:ascii="Times New Roman" w:hAnsi="Times New Roman" w:cs="Times New Roman"/>
        </w:rPr>
        <w:t>bolaget</w:t>
      </w:r>
      <w:r w:rsidR="00D713CC" w:rsidRPr="00BA795A">
        <w:rPr>
          <w:rFonts w:ascii="Times New Roman" w:hAnsi="Times New Roman" w:cs="Times New Roman"/>
        </w:rPr>
        <w:t>s balansräkning.</w:t>
      </w:r>
    </w:p>
    <w:p w14:paraId="2293703C" w14:textId="0D456566" w:rsidR="000947C1" w:rsidRPr="00BA795A" w:rsidRDefault="000947C1" w:rsidP="000947C1">
      <w:pPr>
        <w:pStyle w:val="Liststycke"/>
        <w:keepNext/>
        <w:ind w:left="357"/>
        <w:rPr>
          <w:rFonts w:ascii="Times New Roman" w:hAnsi="Times New Roman" w:cs="Times New Roman"/>
        </w:rPr>
      </w:pPr>
    </w:p>
    <w:p w14:paraId="286A2825" w14:textId="3F267E9B" w:rsidR="000947C1" w:rsidRPr="00BA795A" w:rsidRDefault="000947C1" w:rsidP="000947C1">
      <w:pPr>
        <w:pStyle w:val="Liststycke"/>
        <w:keepNext/>
        <w:numPr>
          <w:ilvl w:val="0"/>
          <w:numId w:val="3"/>
        </w:numPr>
        <w:ind w:left="357" w:hanging="357"/>
        <w:rPr>
          <w:rFonts w:ascii="Times New Roman" w:hAnsi="Times New Roman" w:cs="Times New Roman"/>
          <w:b/>
          <w:bCs/>
        </w:rPr>
      </w:pPr>
      <w:r w:rsidRPr="00BA795A">
        <w:rPr>
          <w:rFonts w:ascii="Times New Roman" w:hAnsi="Times New Roman" w:cs="Times New Roman"/>
          <w:b/>
          <w:bCs/>
        </w:rPr>
        <w:t>Ökning av aktiekapitalet</w:t>
      </w:r>
    </w:p>
    <w:p w14:paraId="42D3C9AA" w14:textId="161D6EA2" w:rsidR="000947C1" w:rsidRPr="00BA795A" w:rsidRDefault="000947C1" w:rsidP="000947C1">
      <w:pPr>
        <w:pStyle w:val="Liststycke"/>
        <w:keepNext/>
        <w:ind w:left="357"/>
        <w:rPr>
          <w:rFonts w:ascii="Times New Roman" w:hAnsi="Times New Roman" w:cs="Times New Roman"/>
        </w:rPr>
      </w:pPr>
      <w:r w:rsidRPr="00BA795A">
        <w:rPr>
          <w:rFonts w:ascii="Times New Roman" w:hAnsi="Times New Roman" w:cs="Times New Roman"/>
        </w:rPr>
        <w:t xml:space="preserve">Ökningen av </w:t>
      </w:r>
      <w:r w:rsidR="007B2030">
        <w:rPr>
          <w:rFonts w:ascii="Times New Roman" w:hAnsi="Times New Roman" w:cs="Times New Roman"/>
        </w:rPr>
        <w:t>bolaget</w:t>
      </w:r>
      <w:r w:rsidRPr="00BA795A">
        <w:rPr>
          <w:rFonts w:ascii="Times New Roman" w:hAnsi="Times New Roman" w:cs="Times New Roman"/>
        </w:rPr>
        <w:t xml:space="preserve">s aktiekapital kan vid fullt utnyttjande av teckningsoptionerna uppgå till högst </w:t>
      </w:r>
      <w:r w:rsidR="0011546D" w:rsidRPr="00BA795A">
        <w:rPr>
          <w:rFonts w:ascii="Times New Roman" w:hAnsi="Times New Roman" w:cs="Times New Roman"/>
        </w:rPr>
        <w:t xml:space="preserve">47 372,90 </w:t>
      </w:r>
      <w:r w:rsidRPr="00BA795A">
        <w:rPr>
          <w:rFonts w:ascii="Times New Roman" w:hAnsi="Times New Roman" w:cs="Times New Roman"/>
        </w:rPr>
        <w:t xml:space="preserve">kronor (förutsatt nuvarande kvotvärde och att ingen omräkning skett enligt Bilaga </w:t>
      </w:r>
      <w:r w:rsidR="003E0B25" w:rsidRPr="00BA795A">
        <w:rPr>
          <w:rFonts w:ascii="Times New Roman" w:hAnsi="Times New Roman" w:cs="Times New Roman"/>
        </w:rPr>
        <w:t>B</w:t>
      </w:r>
      <w:r w:rsidRPr="00BA795A">
        <w:rPr>
          <w:rFonts w:ascii="Times New Roman" w:hAnsi="Times New Roman" w:cs="Times New Roman"/>
        </w:rPr>
        <w:t>).</w:t>
      </w:r>
    </w:p>
    <w:p w14:paraId="754F9F82" w14:textId="0AA72D6C" w:rsidR="000947C1" w:rsidRPr="00BA795A" w:rsidRDefault="000947C1" w:rsidP="000947C1">
      <w:pPr>
        <w:pStyle w:val="Liststycke"/>
        <w:keepNext/>
        <w:ind w:left="357"/>
        <w:rPr>
          <w:rFonts w:ascii="Times New Roman" w:hAnsi="Times New Roman" w:cs="Times New Roman"/>
        </w:rPr>
      </w:pPr>
    </w:p>
    <w:p w14:paraId="1DDDE210" w14:textId="77777777" w:rsidR="000947C1" w:rsidRPr="00BA795A" w:rsidRDefault="000947C1" w:rsidP="000947C1">
      <w:pPr>
        <w:pStyle w:val="Liststycke"/>
        <w:keepNext/>
        <w:numPr>
          <w:ilvl w:val="0"/>
          <w:numId w:val="3"/>
        </w:numPr>
        <w:ind w:left="357" w:hanging="357"/>
        <w:rPr>
          <w:rFonts w:ascii="Times New Roman" w:hAnsi="Times New Roman" w:cs="Times New Roman"/>
          <w:b/>
          <w:bCs/>
        </w:rPr>
      </w:pPr>
      <w:r w:rsidRPr="00BA795A">
        <w:rPr>
          <w:rFonts w:ascii="Times New Roman" w:hAnsi="Times New Roman" w:cs="Times New Roman"/>
          <w:b/>
          <w:bCs/>
        </w:rPr>
        <w:t>Skäl till avvikelse från aktieägarnas företrädesrätt</w:t>
      </w:r>
    </w:p>
    <w:p w14:paraId="643645B8" w14:textId="54A82B10" w:rsidR="000947C1" w:rsidRPr="00BA795A" w:rsidRDefault="000947C1" w:rsidP="000947C1">
      <w:pPr>
        <w:pStyle w:val="Liststycke"/>
        <w:keepNext/>
        <w:ind w:left="357"/>
        <w:rPr>
          <w:rFonts w:ascii="Times New Roman" w:hAnsi="Times New Roman" w:cs="Times New Roman"/>
        </w:rPr>
      </w:pPr>
      <w:r w:rsidRPr="00BA795A">
        <w:rPr>
          <w:rFonts w:ascii="Times New Roman" w:hAnsi="Times New Roman" w:cs="Times New Roman"/>
        </w:rPr>
        <w:t xml:space="preserve">Skälet till avvikelsen från aktieägarnas företrädesrätt är främja </w:t>
      </w:r>
      <w:r w:rsidR="007B2030">
        <w:rPr>
          <w:rFonts w:ascii="Times New Roman" w:hAnsi="Times New Roman" w:cs="Times New Roman"/>
        </w:rPr>
        <w:t>bolaget</w:t>
      </w:r>
      <w:r w:rsidRPr="00BA795A">
        <w:rPr>
          <w:rFonts w:ascii="Times New Roman" w:hAnsi="Times New Roman" w:cs="Times New Roman"/>
        </w:rPr>
        <w:t xml:space="preserve">s långsiktiga intressen genom att ge </w:t>
      </w:r>
      <w:r w:rsidR="007B2030">
        <w:rPr>
          <w:rFonts w:ascii="Times New Roman" w:hAnsi="Times New Roman" w:cs="Times New Roman"/>
        </w:rPr>
        <w:t>bolaget</w:t>
      </w:r>
      <w:r w:rsidRPr="00BA795A">
        <w:rPr>
          <w:rFonts w:ascii="Times New Roman" w:hAnsi="Times New Roman" w:cs="Times New Roman"/>
        </w:rPr>
        <w:t xml:space="preserve">s anställda, och övriga nyckelpersoner möjlighet att ta del av en positiv utveckling i </w:t>
      </w:r>
      <w:r w:rsidR="007B2030">
        <w:rPr>
          <w:rFonts w:ascii="Times New Roman" w:hAnsi="Times New Roman" w:cs="Times New Roman"/>
        </w:rPr>
        <w:t>bolaget</w:t>
      </w:r>
      <w:r w:rsidRPr="00BA795A">
        <w:rPr>
          <w:rFonts w:ascii="Times New Roman" w:hAnsi="Times New Roman" w:cs="Times New Roman"/>
        </w:rPr>
        <w:t xml:space="preserve"> genom ägande. Sådant ägande bedöms öka möjligheten att attrahera och behålla personer med önskad kompetens och erfarenhet.</w:t>
      </w:r>
    </w:p>
    <w:p w14:paraId="25848C5E" w14:textId="77777777" w:rsidR="000947C1" w:rsidRPr="00BA795A" w:rsidRDefault="000947C1" w:rsidP="000947C1">
      <w:pPr>
        <w:pStyle w:val="Liststycke"/>
        <w:keepNext/>
        <w:ind w:left="357"/>
        <w:rPr>
          <w:rFonts w:ascii="Times New Roman" w:hAnsi="Times New Roman" w:cs="Times New Roman"/>
        </w:rPr>
      </w:pPr>
    </w:p>
    <w:p w14:paraId="111D8FBE" w14:textId="77777777" w:rsidR="000947C1" w:rsidRPr="00BA795A" w:rsidRDefault="000947C1" w:rsidP="000947C1">
      <w:pPr>
        <w:pStyle w:val="Liststycke"/>
        <w:keepNext/>
        <w:numPr>
          <w:ilvl w:val="0"/>
          <w:numId w:val="3"/>
        </w:numPr>
        <w:ind w:left="357" w:hanging="357"/>
        <w:rPr>
          <w:rFonts w:ascii="Times New Roman" w:hAnsi="Times New Roman" w:cs="Times New Roman"/>
          <w:b/>
          <w:bCs/>
        </w:rPr>
      </w:pPr>
      <w:r w:rsidRPr="00BA795A">
        <w:rPr>
          <w:rFonts w:ascii="Times New Roman" w:hAnsi="Times New Roman" w:cs="Times New Roman"/>
          <w:b/>
          <w:bCs/>
        </w:rPr>
        <w:t>Utdelning</w:t>
      </w:r>
    </w:p>
    <w:p w14:paraId="36203514" w14:textId="625AC46C" w:rsidR="000947C1" w:rsidRPr="00BA795A" w:rsidRDefault="000947C1" w:rsidP="000947C1">
      <w:pPr>
        <w:pStyle w:val="Liststycke"/>
        <w:keepNext/>
        <w:ind w:left="357"/>
        <w:rPr>
          <w:rFonts w:ascii="Times New Roman" w:hAnsi="Times New Roman" w:cs="Times New Roman"/>
        </w:rPr>
      </w:pPr>
      <w:r w:rsidRPr="00BA795A">
        <w:rPr>
          <w:rFonts w:ascii="Times New Roman" w:hAnsi="Times New Roman" w:cs="Times New Roman"/>
        </w:rPr>
        <w:t xml:space="preserve">De nytecknade aktierna medför rätt till vinstutdelning första gången på den avstämningsdag för utdelning som infaller närmast efter det att nyteckningen har registrerats hos Bolagsverket och aktierna införts i aktieboken hos </w:t>
      </w:r>
      <w:proofErr w:type="spellStart"/>
      <w:r w:rsidRPr="00BA795A">
        <w:rPr>
          <w:rFonts w:ascii="Times New Roman" w:hAnsi="Times New Roman" w:cs="Times New Roman"/>
        </w:rPr>
        <w:t>Euroclear</w:t>
      </w:r>
      <w:proofErr w:type="spellEnd"/>
      <w:r w:rsidRPr="00BA795A">
        <w:rPr>
          <w:rFonts w:ascii="Times New Roman" w:hAnsi="Times New Roman" w:cs="Times New Roman"/>
        </w:rPr>
        <w:t xml:space="preserve"> Sweden AB.</w:t>
      </w:r>
    </w:p>
    <w:p w14:paraId="4F2E5559" w14:textId="77777777" w:rsidR="000947C1" w:rsidRPr="00BA795A" w:rsidRDefault="000947C1" w:rsidP="000947C1">
      <w:pPr>
        <w:pStyle w:val="Liststycke"/>
        <w:keepNext/>
        <w:ind w:left="357"/>
        <w:rPr>
          <w:rFonts w:ascii="Times New Roman" w:hAnsi="Times New Roman" w:cs="Times New Roman"/>
        </w:rPr>
      </w:pPr>
    </w:p>
    <w:p w14:paraId="0CA11DEE" w14:textId="77777777" w:rsidR="000947C1" w:rsidRPr="00BA795A" w:rsidRDefault="000947C1" w:rsidP="000947C1">
      <w:pPr>
        <w:pStyle w:val="Liststycke"/>
        <w:keepNext/>
        <w:numPr>
          <w:ilvl w:val="0"/>
          <w:numId w:val="3"/>
        </w:numPr>
        <w:ind w:left="357" w:hanging="357"/>
        <w:rPr>
          <w:rFonts w:ascii="Times New Roman" w:hAnsi="Times New Roman" w:cs="Times New Roman"/>
          <w:b/>
          <w:bCs/>
        </w:rPr>
      </w:pPr>
      <w:r w:rsidRPr="00BA795A">
        <w:rPr>
          <w:rFonts w:ascii="Times New Roman" w:hAnsi="Times New Roman" w:cs="Times New Roman"/>
          <w:b/>
          <w:bCs/>
        </w:rPr>
        <w:t>Bemyndigande</w:t>
      </w:r>
    </w:p>
    <w:p w14:paraId="1C05E8E3" w14:textId="30EDA614" w:rsidR="000947C1" w:rsidRPr="00BA795A" w:rsidRDefault="00EA4181" w:rsidP="000947C1">
      <w:pPr>
        <w:pStyle w:val="Liststycke"/>
        <w:keepNext/>
        <w:ind w:left="357"/>
        <w:rPr>
          <w:rFonts w:ascii="Times New Roman" w:hAnsi="Times New Roman" w:cs="Times New Roman"/>
        </w:rPr>
      </w:pPr>
      <w:r w:rsidRPr="00BA795A">
        <w:rPr>
          <w:rFonts w:ascii="Times New Roman" w:hAnsi="Times New Roman" w:cs="Times New Roman"/>
        </w:rPr>
        <w:t>Styrelsens ordförande eller den styrelsens ordförande utser,</w:t>
      </w:r>
      <w:r w:rsidR="000947C1" w:rsidRPr="00BA795A">
        <w:rPr>
          <w:rFonts w:ascii="Times New Roman" w:hAnsi="Times New Roman" w:cs="Times New Roman"/>
        </w:rPr>
        <w:t xml:space="preserve"> ska bemyndigas att vidta de smärre ändringar i beslutet som kan komma att krävas för registrering hos Bolagsverket respektive </w:t>
      </w:r>
      <w:proofErr w:type="spellStart"/>
      <w:r w:rsidR="000947C1" w:rsidRPr="00BA795A">
        <w:rPr>
          <w:rFonts w:ascii="Times New Roman" w:hAnsi="Times New Roman" w:cs="Times New Roman"/>
        </w:rPr>
        <w:t>Euroclear</w:t>
      </w:r>
      <w:proofErr w:type="spellEnd"/>
      <w:r w:rsidR="000947C1" w:rsidRPr="00BA795A">
        <w:rPr>
          <w:rFonts w:ascii="Times New Roman" w:hAnsi="Times New Roman" w:cs="Times New Roman"/>
        </w:rPr>
        <w:t xml:space="preserve"> Sweden AB, i det fall styrelsen beslutar att teckningsoptionerna ska registreras hos </w:t>
      </w:r>
      <w:proofErr w:type="spellStart"/>
      <w:r w:rsidR="000947C1" w:rsidRPr="00BA795A">
        <w:rPr>
          <w:rFonts w:ascii="Times New Roman" w:hAnsi="Times New Roman" w:cs="Times New Roman"/>
        </w:rPr>
        <w:t>Euroclear</w:t>
      </w:r>
      <w:proofErr w:type="spellEnd"/>
      <w:r w:rsidR="000947C1" w:rsidRPr="00BA795A">
        <w:rPr>
          <w:rFonts w:ascii="Times New Roman" w:hAnsi="Times New Roman" w:cs="Times New Roman"/>
        </w:rPr>
        <w:t xml:space="preserve"> Sweden AB.</w:t>
      </w:r>
    </w:p>
    <w:p w14:paraId="76F9A5CE" w14:textId="77777777" w:rsidR="000947C1" w:rsidRPr="00BA795A" w:rsidRDefault="000947C1" w:rsidP="000947C1">
      <w:pPr>
        <w:pStyle w:val="Liststycke"/>
        <w:keepNext/>
        <w:ind w:left="357"/>
        <w:rPr>
          <w:rFonts w:ascii="Times New Roman" w:hAnsi="Times New Roman" w:cs="Times New Roman"/>
        </w:rPr>
      </w:pPr>
    </w:p>
    <w:p w14:paraId="29C41380" w14:textId="77777777" w:rsidR="000947C1" w:rsidRPr="00BA795A" w:rsidRDefault="000947C1" w:rsidP="000947C1">
      <w:pPr>
        <w:pStyle w:val="Liststycke"/>
        <w:keepNext/>
        <w:numPr>
          <w:ilvl w:val="0"/>
          <w:numId w:val="3"/>
        </w:numPr>
        <w:ind w:left="357" w:hanging="357"/>
        <w:rPr>
          <w:rFonts w:ascii="Times New Roman" w:hAnsi="Times New Roman" w:cs="Times New Roman"/>
          <w:b/>
          <w:bCs/>
        </w:rPr>
      </w:pPr>
      <w:r w:rsidRPr="00BA795A">
        <w:rPr>
          <w:rFonts w:ascii="Times New Roman" w:hAnsi="Times New Roman" w:cs="Times New Roman"/>
          <w:b/>
          <w:bCs/>
        </w:rPr>
        <w:t>Bolagsordning</w:t>
      </w:r>
    </w:p>
    <w:p w14:paraId="622CD078" w14:textId="68485909" w:rsidR="000947C1" w:rsidRPr="00BA795A" w:rsidRDefault="000947C1" w:rsidP="000947C1">
      <w:pPr>
        <w:ind w:left="0" w:firstLine="357"/>
        <w:rPr>
          <w:rFonts w:ascii="Times New Roman" w:hAnsi="Times New Roman" w:cs="Times New Roman"/>
        </w:rPr>
      </w:pPr>
      <w:r w:rsidRPr="00BA795A">
        <w:rPr>
          <w:rFonts w:ascii="Times New Roman" w:hAnsi="Times New Roman" w:cs="Times New Roman"/>
        </w:rPr>
        <w:t xml:space="preserve">Bolagets bolagsordning hålls tillgänglig för tecknarna på </w:t>
      </w:r>
      <w:r w:rsidR="007B2030">
        <w:rPr>
          <w:rFonts w:ascii="Times New Roman" w:hAnsi="Times New Roman" w:cs="Times New Roman"/>
        </w:rPr>
        <w:t>bolaget</w:t>
      </w:r>
      <w:r w:rsidRPr="00BA795A">
        <w:rPr>
          <w:rFonts w:ascii="Times New Roman" w:hAnsi="Times New Roman" w:cs="Times New Roman"/>
        </w:rPr>
        <w:t>s adress i Stockholm.</w:t>
      </w:r>
    </w:p>
    <w:p w14:paraId="0DFFFF9D" w14:textId="234EDA63" w:rsidR="00713AC4" w:rsidRPr="00BA795A" w:rsidRDefault="00713AC4" w:rsidP="003E0B25">
      <w:pPr>
        <w:ind w:left="0"/>
        <w:rPr>
          <w:rFonts w:ascii="Times New Roman" w:hAnsi="Times New Roman" w:cs="Times New Roman"/>
        </w:rPr>
      </w:pPr>
      <w:r w:rsidRPr="00BA795A">
        <w:rPr>
          <w:rFonts w:ascii="Times New Roman" w:hAnsi="Times New Roman" w:cs="Times New Roman"/>
        </w:rPr>
        <w:t>De fullständiga villkoren för teckningsoptionerna framgår av Bilaga B – ”Villkor för teckningsoptioner 202</w:t>
      </w:r>
      <w:r w:rsidR="003E0B25" w:rsidRPr="00BA795A">
        <w:rPr>
          <w:rFonts w:ascii="Times New Roman" w:hAnsi="Times New Roman" w:cs="Times New Roman"/>
        </w:rPr>
        <w:t>1</w:t>
      </w:r>
      <w:r w:rsidRPr="00BA795A">
        <w:rPr>
          <w:rFonts w:ascii="Times New Roman" w:hAnsi="Times New Roman" w:cs="Times New Roman"/>
        </w:rPr>
        <w:t>/202</w:t>
      </w:r>
      <w:r w:rsidR="003E0B25" w:rsidRPr="00BA795A">
        <w:rPr>
          <w:rFonts w:ascii="Times New Roman" w:hAnsi="Times New Roman" w:cs="Times New Roman"/>
        </w:rPr>
        <w:t>4</w:t>
      </w:r>
      <w:r w:rsidRPr="00BA795A">
        <w:rPr>
          <w:rFonts w:ascii="Times New Roman" w:hAnsi="Times New Roman" w:cs="Times New Roman"/>
        </w:rPr>
        <w:t xml:space="preserve">”. Bland annat framgår av § </w:t>
      </w:r>
      <w:r w:rsidR="00C56870" w:rsidRPr="00BA795A">
        <w:rPr>
          <w:rFonts w:ascii="Times New Roman" w:hAnsi="Times New Roman" w:cs="Times New Roman"/>
        </w:rPr>
        <w:t>6</w:t>
      </w:r>
      <w:r w:rsidRPr="00BA795A">
        <w:rPr>
          <w:rFonts w:ascii="Times New Roman" w:hAnsi="Times New Roman" w:cs="Times New Roman"/>
        </w:rPr>
        <w:t xml:space="preserve"> i Bilaga B att teckningskursen liksom antalet aktier som varje teckningsoption berättigar till teckning av kan komma att omräknas vid fondemission, nyemission samt i vissa andra fall.</w:t>
      </w:r>
    </w:p>
    <w:p w14:paraId="30FDCFCD" w14:textId="77777777" w:rsidR="00713AC4" w:rsidRPr="00BA795A" w:rsidRDefault="00713AC4" w:rsidP="00713AC4">
      <w:pPr>
        <w:keepNext/>
        <w:spacing w:after="160" w:line="259" w:lineRule="auto"/>
        <w:jc w:val="center"/>
        <w:rPr>
          <w:rFonts w:ascii="Times New Roman" w:eastAsia="Calibri" w:hAnsi="Times New Roman" w:cs="Times New Roman"/>
          <w:lang w:eastAsia="en-US"/>
        </w:rPr>
      </w:pPr>
      <w:r w:rsidRPr="00BA795A">
        <w:rPr>
          <w:rFonts w:ascii="Times New Roman" w:eastAsia="Calibri" w:hAnsi="Times New Roman" w:cs="Times New Roman"/>
          <w:lang w:eastAsia="en-US"/>
        </w:rPr>
        <w:t>_________________</w:t>
      </w:r>
    </w:p>
    <w:p w14:paraId="1419B3EE" w14:textId="17A292B7" w:rsidR="00713AC4" w:rsidRPr="00BA795A" w:rsidRDefault="00713AC4" w:rsidP="00713AC4">
      <w:pPr>
        <w:ind w:left="0"/>
        <w:rPr>
          <w:rFonts w:ascii="Times New Roman" w:hAnsi="Times New Roman" w:cs="Times New Roman"/>
        </w:rPr>
      </w:pPr>
      <w:bookmarkStart w:id="0" w:name="_Hlk36769702"/>
      <w:r w:rsidRPr="00BA795A">
        <w:rPr>
          <w:rFonts w:ascii="Times New Roman" w:hAnsi="Times New Roman" w:cs="Times New Roman"/>
        </w:rPr>
        <w:t xml:space="preserve">För giltigt beslut enligt denna punkt krävs biträde av aktieägare med minst nio tiondelar av såväl de avgivna rösterna som </w:t>
      </w:r>
      <w:r w:rsidR="007B2030" w:rsidRPr="00101CAD">
        <w:rPr>
          <w:rFonts w:ascii="Times New Roman" w:hAnsi="Times New Roman" w:cs="Times New Roman"/>
          <w:bCs/>
        </w:rPr>
        <w:t>de aktier som är företrädda vid stämman</w:t>
      </w:r>
      <w:r w:rsidRPr="00BA795A">
        <w:rPr>
          <w:rFonts w:ascii="Times New Roman" w:hAnsi="Times New Roman" w:cs="Times New Roman"/>
        </w:rPr>
        <w:t>.</w:t>
      </w:r>
    </w:p>
    <w:bookmarkEnd w:id="0"/>
    <w:p w14:paraId="39187DBD" w14:textId="77777777" w:rsidR="00713AC4" w:rsidRPr="00BA795A" w:rsidRDefault="00713AC4" w:rsidP="00713AC4">
      <w:pPr>
        <w:spacing w:after="0" w:line="259" w:lineRule="auto"/>
        <w:jc w:val="center"/>
        <w:rPr>
          <w:rFonts w:ascii="Times New Roman" w:eastAsia="Calibri" w:hAnsi="Times New Roman" w:cs="Times New Roman"/>
          <w:lang w:val="en-US" w:eastAsia="en-US"/>
        </w:rPr>
      </w:pPr>
      <w:r w:rsidRPr="00BA795A">
        <w:rPr>
          <w:rFonts w:ascii="Times New Roman" w:eastAsia="Calibri" w:hAnsi="Times New Roman" w:cs="Times New Roman"/>
          <w:lang w:val="en-US" w:eastAsia="en-US"/>
        </w:rPr>
        <w:lastRenderedPageBreak/>
        <w:t>__________________</w:t>
      </w:r>
    </w:p>
    <w:p w14:paraId="7B9C920D" w14:textId="77777777" w:rsidR="00713AC4" w:rsidRPr="00BA795A" w:rsidRDefault="00713AC4" w:rsidP="00713AC4">
      <w:pPr>
        <w:spacing w:after="0" w:line="259" w:lineRule="auto"/>
        <w:jc w:val="center"/>
        <w:rPr>
          <w:rFonts w:ascii="Times New Roman" w:eastAsia="Calibri" w:hAnsi="Times New Roman" w:cs="Times New Roman"/>
          <w:lang w:val="en-US" w:eastAsia="en-US"/>
        </w:rPr>
      </w:pPr>
    </w:p>
    <w:p w14:paraId="409BE71F" w14:textId="7099A3EB" w:rsidR="00713AC4" w:rsidRPr="00BA795A" w:rsidRDefault="00713AC4" w:rsidP="00713AC4">
      <w:pPr>
        <w:keepNext/>
        <w:spacing w:after="160" w:line="259" w:lineRule="auto"/>
        <w:jc w:val="center"/>
        <w:rPr>
          <w:rFonts w:ascii="Times New Roman" w:eastAsia="Calibri" w:hAnsi="Times New Roman" w:cs="Times New Roman"/>
          <w:lang w:val="en-GB" w:eastAsia="en-US"/>
        </w:rPr>
      </w:pPr>
      <w:proofErr w:type="spellStart"/>
      <w:r w:rsidRPr="00BA795A">
        <w:rPr>
          <w:rFonts w:ascii="Times New Roman" w:hAnsi="Times New Roman" w:cs="Times New Roman"/>
          <w:lang w:val="en-GB"/>
        </w:rPr>
        <w:t>Västerås</w:t>
      </w:r>
      <w:proofErr w:type="spellEnd"/>
      <w:r w:rsidRPr="00BA795A">
        <w:rPr>
          <w:rFonts w:ascii="Times New Roman" w:hAnsi="Times New Roman" w:cs="Times New Roman"/>
          <w:lang w:val="en-GB"/>
        </w:rPr>
        <w:t xml:space="preserve"> i </w:t>
      </w:r>
      <w:proofErr w:type="spellStart"/>
      <w:r w:rsidRPr="00BA795A">
        <w:rPr>
          <w:rFonts w:ascii="Times New Roman" w:hAnsi="Times New Roman" w:cs="Times New Roman"/>
          <w:lang w:val="en-GB"/>
        </w:rPr>
        <w:t>april</w:t>
      </w:r>
      <w:proofErr w:type="spellEnd"/>
      <w:r w:rsidRPr="00BA795A">
        <w:rPr>
          <w:rFonts w:ascii="Times New Roman" w:hAnsi="Times New Roman" w:cs="Times New Roman"/>
          <w:lang w:val="en-GB"/>
        </w:rPr>
        <w:t xml:space="preserve"> 2021</w:t>
      </w:r>
    </w:p>
    <w:p w14:paraId="2E39E76C" w14:textId="77777777" w:rsidR="00713AC4" w:rsidRPr="00BA795A" w:rsidRDefault="00713AC4" w:rsidP="00713AC4">
      <w:pPr>
        <w:keepNext/>
        <w:spacing w:after="160" w:line="259" w:lineRule="auto"/>
        <w:jc w:val="center"/>
        <w:rPr>
          <w:rFonts w:ascii="Times New Roman" w:hAnsi="Times New Roman" w:cs="Times New Roman"/>
          <w:b/>
          <w:bCs/>
          <w:lang w:val="en-GB"/>
        </w:rPr>
      </w:pPr>
      <w:r w:rsidRPr="00BA795A">
        <w:rPr>
          <w:rFonts w:ascii="Times New Roman" w:hAnsi="Times New Roman" w:cs="Times New Roman"/>
          <w:b/>
          <w:bCs/>
          <w:lang w:val="en-GB"/>
        </w:rPr>
        <w:t>Scandinavian Real Heart AB (publ)</w:t>
      </w:r>
    </w:p>
    <w:p w14:paraId="04012207" w14:textId="7FE04050" w:rsidR="00713AC4" w:rsidRPr="00BA795A" w:rsidRDefault="00713AC4" w:rsidP="00713AC4">
      <w:pPr>
        <w:keepNext/>
        <w:spacing w:after="160" w:line="259" w:lineRule="auto"/>
        <w:jc w:val="center"/>
        <w:rPr>
          <w:rFonts w:ascii="Times New Roman" w:eastAsia="Calibri" w:hAnsi="Times New Roman" w:cs="Times New Roman"/>
          <w:b/>
          <w:bCs/>
          <w:lang w:eastAsia="en-US"/>
        </w:rPr>
      </w:pPr>
      <w:r w:rsidRPr="00BA795A">
        <w:rPr>
          <w:rFonts w:ascii="Times New Roman" w:hAnsi="Times New Roman" w:cs="Times New Roman"/>
        </w:rPr>
        <w:t>STYRELSEN</w:t>
      </w:r>
      <w:r w:rsidRPr="00BA795A">
        <w:rPr>
          <w:rFonts w:ascii="Times New Roman" w:eastAsia="Calibri" w:hAnsi="Times New Roman" w:cs="Times New Roman"/>
          <w:color w:val="4472C4" w:themeColor="accent1"/>
          <w:lang w:eastAsia="en-US"/>
        </w:rPr>
        <w:br/>
      </w:r>
    </w:p>
    <w:p w14:paraId="1319DE72" w14:textId="77777777" w:rsidR="00713AC4" w:rsidRPr="00BA795A" w:rsidRDefault="00713AC4" w:rsidP="00713AC4">
      <w:pPr>
        <w:keepNext/>
        <w:spacing w:after="160" w:line="259" w:lineRule="auto"/>
        <w:ind w:left="0"/>
        <w:rPr>
          <w:rFonts w:ascii="Times New Roman" w:eastAsia="Calibri" w:hAnsi="Times New Roman" w:cs="Times New Roman"/>
          <w:b/>
          <w:bCs/>
          <w:lang w:eastAsia="en-US"/>
        </w:rPr>
      </w:pPr>
    </w:p>
    <w:p w14:paraId="49808216" w14:textId="77777777" w:rsidR="003E0B25" w:rsidRPr="00BA795A" w:rsidRDefault="003E0B25" w:rsidP="000947C1">
      <w:pPr>
        <w:ind w:left="0"/>
        <w:rPr>
          <w:rFonts w:ascii="Times New Roman" w:hAnsi="Times New Roman" w:cs="Times New Roman"/>
          <w:b/>
          <w:bCs/>
          <w:i/>
          <w:iCs/>
        </w:rPr>
        <w:sectPr w:rsidR="003E0B25" w:rsidRPr="00BA795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112ADCCC" w14:textId="14E70D48" w:rsidR="003E0B25" w:rsidRPr="00BA795A" w:rsidRDefault="003E0B25" w:rsidP="000947C1">
      <w:pPr>
        <w:ind w:left="0"/>
        <w:rPr>
          <w:rFonts w:ascii="Times New Roman" w:hAnsi="Times New Roman" w:cs="Times New Roman"/>
          <w:b/>
          <w:bCs/>
        </w:rPr>
      </w:pPr>
      <w:r w:rsidRPr="00BA795A">
        <w:rPr>
          <w:rFonts w:ascii="Times New Roman" w:hAnsi="Times New Roman" w:cs="Times New Roman"/>
          <w:b/>
          <w:bCs/>
          <w:i/>
          <w:iCs/>
        </w:rPr>
        <w:lastRenderedPageBreak/>
        <w:tab/>
      </w:r>
      <w:r w:rsidRPr="00BA795A">
        <w:rPr>
          <w:rFonts w:ascii="Times New Roman" w:hAnsi="Times New Roman" w:cs="Times New Roman"/>
          <w:b/>
          <w:bCs/>
          <w:i/>
          <w:iCs/>
        </w:rPr>
        <w:tab/>
      </w:r>
      <w:r w:rsidRPr="00BA795A">
        <w:rPr>
          <w:rFonts w:ascii="Times New Roman" w:hAnsi="Times New Roman" w:cs="Times New Roman"/>
          <w:b/>
          <w:bCs/>
          <w:i/>
          <w:iCs/>
        </w:rPr>
        <w:tab/>
      </w:r>
      <w:r w:rsidRPr="00BA795A">
        <w:rPr>
          <w:rFonts w:ascii="Times New Roman" w:hAnsi="Times New Roman" w:cs="Times New Roman"/>
          <w:b/>
          <w:bCs/>
          <w:i/>
          <w:iCs/>
        </w:rPr>
        <w:tab/>
      </w:r>
      <w:r w:rsidRPr="00BA795A">
        <w:rPr>
          <w:rFonts w:ascii="Times New Roman" w:hAnsi="Times New Roman" w:cs="Times New Roman"/>
          <w:b/>
          <w:bCs/>
          <w:i/>
          <w:iCs/>
        </w:rPr>
        <w:tab/>
      </w:r>
      <w:r w:rsidRPr="00BA795A">
        <w:rPr>
          <w:rFonts w:ascii="Times New Roman" w:hAnsi="Times New Roman" w:cs="Times New Roman"/>
          <w:b/>
          <w:bCs/>
          <w:i/>
          <w:iCs/>
        </w:rPr>
        <w:tab/>
      </w:r>
      <w:r w:rsidRPr="00BA795A">
        <w:rPr>
          <w:rFonts w:ascii="Times New Roman" w:hAnsi="Times New Roman" w:cs="Times New Roman"/>
          <w:b/>
          <w:bCs/>
        </w:rPr>
        <w:t>BILAGA A</w:t>
      </w:r>
    </w:p>
    <w:p w14:paraId="515B0ADA" w14:textId="7A6F0BF6" w:rsidR="000947C1" w:rsidRPr="00BA795A" w:rsidRDefault="000947C1" w:rsidP="000947C1">
      <w:pPr>
        <w:ind w:left="0"/>
        <w:rPr>
          <w:rFonts w:ascii="Times New Roman" w:hAnsi="Times New Roman" w:cs="Times New Roman"/>
          <w:b/>
          <w:bCs/>
          <w:i/>
          <w:iCs/>
        </w:rPr>
      </w:pPr>
      <w:r w:rsidRPr="00BA795A">
        <w:rPr>
          <w:rFonts w:ascii="Times New Roman" w:hAnsi="Times New Roman" w:cs="Times New Roman"/>
          <w:b/>
          <w:bCs/>
          <w:i/>
          <w:iCs/>
        </w:rPr>
        <w:t>Övrig information</w:t>
      </w:r>
    </w:p>
    <w:p w14:paraId="1E50C9FC" w14:textId="53D54BF5" w:rsidR="000947C1" w:rsidRPr="00BA795A" w:rsidRDefault="000947C1" w:rsidP="000947C1">
      <w:pPr>
        <w:ind w:left="0"/>
        <w:rPr>
          <w:rFonts w:ascii="Times New Roman" w:hAnsi="Times New Roman" w:cs="Times New Roman"/>
          <w:b/>
          <w:bCs/>
        </w:rPr>
      </w:pPr>
      <w:r w:rsidRPr="00BA795A">
        <w:rPr>
          <w:rFonts w:ascii="Times New Roman" w:hAnsi="Times New Roman" w:cs="Times New Roman"/>
          <w:b/>
          <w:bCs/>
        </w:rPr>
        <w:t>Utestående aktierelaterade incitamentsprogram</w:t>
      </w:r>
    </w:p>
    <w:p w14:paraId="3D240B70" w14:textId="23D69256" w:rsidR="003A6A51" w:rsidRPr="00CB2F0D" w:rsidRDefault="008928A8" w:rsidP="00CB2F0D">
      <w:pPr>
        <w:ind w:left="0"/>
        <w:rPr>
          <w:rFonts w:ascii="Times New Roman" w:hAnsi="Times New Roman" w:cs="Times New Roman"/>
        </w:rPr>
      </w:pPr>
      <w:bookmarkStart w:id="1" w:name="_Hlk71029314"/>
      <w:r w:rsidRPr="008928A8">
        <w:rPr>
          <w:rFonts w:ascii="Times New Roman" w:hAnsi="Times New Roman" w:cs="Times New Roman"/>
        </w:rPr>
        <w:t>Den extra bolagsstämman den 27 november 2017 beslutade att, med avvikelse från aktieägarnas företrädesrätt, till Bolagets styrelseledamot Harold Kaiser emittera högst totalt 509 000 teckningsoptioner i fyra serier a) –</w:t>
      </w:r>
      <w:r>
        <w:rPr>
          <w:rFonts w:ascii="Times New Roman" w:hAnsi="Times New Roman" w:cs="Times New Roman"/>
        </w:rPr>
        <w:t xml:space="preserve"> </w:t>
      </w:r>
      <w:r w:rsidRPr="008928A8">
        <w:rPr>
          <w:rFonts w:ascii="Times New Roman" w:hAnsi="Times New Roman" w:cs="Times New Roman"/>
        </w:rPr>
        <w:t>d)</w:t>
      </w:r>
      <w:r w:rsidR="00974946">
        <w:rPr>
          <w:rFonts w:ascii="Times New Roman" w:hAnsi="Times New Roman" w:cs="Times New Roman"/>
        </w:rPr>
        <w:t xml:space="preserve">, varav serie c) och d) fortfarande är utestående.  Teckningsoptioner av serie c), som omfattar 150 000 teckningsoptioner, ger rätt att teckna en ny aktie i Bolaget till en teckningskurs motsvarande </w:t>
      </w:r>
      <w:r w:rsidR="00974946" w:rsidRPr="008928A8">
        <w:rPr>
          <w:rFonts w:ascii="Times New Roman" w:hAnsi="Times New Roman" w:cs="Times New Roman"/>
        </w:rPr>
        <w:t>180 % av aktiens börskurs 20 handelsdagar före stämman</w:t>
      </w:r>
      <w:r w:rsidR="00974946">
        <w:rPr>
          <w:rFonts w:ascii="Times New Roman" w:hAnsi="Times New Roman" w:cs="Times New Roman"/>
        </w:rPr>
        <w:t xml:space="preserve"> 2017 och </w:t>
      </w:r>
      <w:r w:rsidR="00974946" w:rsidRPr="00CB2F0D">
        <w:rPr>
          <w:rFonts w:ascii="Times New Roman" w:hAnsi="Times New Roman" w:cs="Times New Roman"/>
        </w:rPr>
        <w:t>teckningsoptioner av serie d), som omfattar 150 000 teckningsoptioner</w:t>
      </w:r>
      <w:r w:rsidR="00CB2F0D" w:rsidRPr="00CB2F0D">
        <w:rPr>
          <w:rFonts w:ascii="Times New Roman" w:hAnsi="Times New Roman" w:cs="Times New Roman"/>
        </w:rPr>
        <w:t>,</w:t>
      </w:r>
      <w:r w:rsidR="00974946" w:rsidRPr="00CB2F0D">
        <w:rPr>
          <w:rFonts w:ascii="Times New Roman" w:hAnsi="Times New Roman" w:cs="Times New Roman"/>
        </w:rPr>
        <w:t xml:space="preserve"> ger rätt att teckna en ny aktie i Bolaget till en teckningskurs motsvarande 230 % av aktiens börskurs 20 handelsdagar före stämman 2017. Teckningskursen och antalet aktier varje teckningsoption berättigar till är föremål för omräkning i enlighet teckningsoptionsvillkoren med anledning av företrädesemissionerna som genomfördes 2018 och 2020</w:t>
      </w:r>
      <w:r w:rsidR="00CB2F0D" w:rsidRPr="00CB2F0D">
        <w:rPr>
          <w:rFonts w:ascii="Times New Roman" w:hAnsi="Times New Roman" w:cs="Times New Roman"/>
        </w:rPr>
        <w:t xml:space="preserve">. </w:t>
      </w:r>
      <w:r w:rsidRPr="00CB2F0D">
        <w:rPr>
          <w:rFonts w:ascii="Times New Roman" w:hAnsi="Times New Roman" w:cs="Times New Roman"/>
        </w:rPr>
        <w:t>Teckning av aktier med stöd av teckningsoptioner</w:t>
      </w:r>
      <w:r w:rsidR="00974946" w:rsidRPr="00CB2F0D">
        <w:rPr>
          <w:rFonts w:ascii="Times New Roman" w:hAnsi="Times New Roman" w:cs="Times New Roman"/>
        </w:rPr>
        <w:t>na kan äga rum fram till och med den 30 november 2022</w:t>
      </w:r>
      <w:r w:rsidRPr="00CB2F0D">
        <w:rPr>
          <w:rFonts w:ascii="Times New Roman" w:hAnsi="Times New Roman" w:cs="Times New Roman"/>
        </w:rPr>
        <w:t>. Samtliga teckningsoptioner tecknades den 30 november 2017.</w:t>
      </w:r>
    </w:p>
    <w:p w14:paraId="647DF6F7" w14:textId="70DD0388" w:rsidR="008928A8" w:rsidRPr="00CB2F0D" w:rsidRDefault="008928A8" w:rsidP="004053FD">
      <w:pPr>
        <w:ind w:left="0"/>
        <w:rPr>
          <w:rFonts w:ascii="Times New Roman" w:hAnsi="Times New Roman" w:cs="Times New Roman"/>
        </w:rPr>
      </w:pPr>
      <w:r w:rsidRPr="00CB2F0D">
        <w:rPr>
          <w:rFonts w:ascii="Times New Roman" w:hAnsi="Times New Roman" w:cs="Times New Roman"/>
        </w:rPr>
        <w:t>Årsstämman</w:t>
      </w:r>
      <w:r w:rsidRPr="00CB2F0D">
        <w:t xml:space="preserve"> </w:t>
      </w:r>
      <w:r w:rsidRPr="00CB2F0D">
        <w:rPr>
          <w:rFonts w:ascii="Times New Roman" w:hAnsi="Times New Roman" w:cs="Times New Roman"/>
        </w:rPr>
        <w:t>den 26 mars 2019 beslutade att, med avvikelse från aktieägarnas företrädesrätt,</w:t>
      </w:r>
      <w:r w:rsidR="004053FD" w:rsidRPr="00CB2F0D">
        <w:rPr>
          <w:rFonts w:ascii="Times New Roman" w:hAnsi="Times New Roman" w:cs="Times New Roman"/>
        </w:rPr>
        <w:t xml:space="preserve"> till Ina Laura </w:t>
      </w:r>
      <w:proofErr w:type="spellStart"/>
      <w:r w:rsidR="004053FD" w:rsidRPr="00CB2F0D">
        <w:rPr>
          <w:rFonts w:ascii="Times New Roman" w:hAnsi="Times New Roman" w:cs="Times New Roman"/>
        </w:rPr>
        <w:t>Pieper</w:t>
      </w:r>
      <w:proofErr w:type="spellEnd"/>
      <w:r w:rsidR="004053FD" w:rsidRPr="00CB2F0D">
        <w:rPr>
          <w:rFonts w:ascii="Times New Roman" w:hAnsi="Times New Roman" w:cs="Times New Roman"/>
        </w:rPr>
        <w:t xml:space="preserve"> och Fredrik </w:t>
      </w:r>
      <w:proofErr w:type="spellStart"/>
      <w:r w:rsidR="004053FD" w:rsidRPr="00CB2F0D">
        <w:rPr>
          <w:rFonts w:ascii="Times New Roman" w:hAnsi="Times New Roman" w:cs="Times New Roman"/>
        </w:rPr>
        <w:t>Pahlm</w:t>
      </w:r>
      <w:proofErr w:type="spellEnd"/>
      <w:r w:rsidR="004053FD" w:rsidRPr="00CB2F0D">
        <w:rPr>
          <w:rFonts w:ascii="Times New Roman" w:hAnsi="Times New Roman" w:cs="Times New Roman"/>
        </w:rPr>
        <w:t>, emittera högst 150 000 teckningsoptioner (75 000 teckningsoptioner vardera) till en teckningskurs om 1,33 kronor per teckningsoption. Varje teckningsoption ger</w:t>
      </w:r>
      <w:r w:rsidR="006B523A" w:rsidRPr="00CB2F0D">
        <w:rPr>
          <w:rFonts w:ascii="Times New Roman" w:hAnsi="Times New Roman" w:cs="Times New Roman"/>
        </w:rPr>
        <w:t xml:space="preserve"> </w:t>
      </w:r>
      <w:r w:rsidR="004053FD" w:rsidRPr="00CB2F0D">
        <w:rPr>
          <w:rFonts w:ascii="Times New Roman" w:hAnsi="Times New Roman" w:cs="Times New Roman"/>
        </w:rPr>
        <w:t xml:space="preserve">rätt att teckna </w:t>
      </w:r>
      <w:r w:rsidR="006B523A" w:rsidRPr="00CB2F0D">
        <w:rPr>
          <w:rFonts w:ascii="Times New Roman" w:hAnsi="Times New Roman" w:cs="Times New Roman"/>
        </w:rPr>
        <w:t xml:space="preserve">en </w:t>
      </w:r>
      <w:r w:rsidR="004053FD" w:rsidRPr="00CB2F0D">
        <w:rPr>
          <w:rFonts w:ascii="Times New Roman" w:hAnsi="Times New Roman" w:cs="Times New Roman"/>
        </w:rPr>
        <w:t>ny aktie i bolaget till en teckningskurs motsvarande 150 procent av aktiens snittkurs tio (10) handelsdagar efter årsstämman</w:t>
      </w:r>
      <w:r w:rsidR="006128F1" w:rsidRPr="00CB2F0D">
        <w:rPr>
          <w:rFonts w:ascii="Times New Roman" w:hAnsi="Times New Roman" w:cs="Times New Roman"/>
        </w:rPr>
        <w:t xml:space="preserve"> (före omräkning)</w:t>
      </w:r>
      <w:r w:rsidR="004053FD" w:rsidRPr="00CB2F0D">
        <w:rPr>
          <w:rFonts w:ascii="Times New Roman" w:hAnsi="Times New Roman" w:cs="Times New Roman"/>
        </w:rPr>
        <w:t xml:space="preserve">. </w:t>
      </w:r>
      <w:r w:rsidR="0015654D" w:rsidRPr="00CB2F0D">
        <w:rPr>
          <w:rFonts w:ascii="Times New Roman" w:hAnsi="Times New Roman" w:cs="Times New Roman"/>
        </w:rPr>
        <w:t xml:space="preserve">Teckningskursen och antalet aktier varje teckningsoption berättigar till är föremål för omräkning i enlighet teckningsoptionsvillkoren med anledning av företrädesemissionen som genomfördes 2020. </w:t>
      </w:r>
      <w:r w:rsidR="004053FD" w:rsidRPr="00CB2F0D">
        <w:rPr>
          <w:rFonts w:ascii="Times New Roman" w:hAnsi="Times New Roman" w:cs="Times New Roman"/>
        </w:rPr>
        <w:t>Teckning av aktier med stöd av teckningsoptionerna kan äga rum under perioden 15 mars 2022 till och med den 15 juni 2022. Samtliga teckningsoptioner tecknades den 26 april 2019.</w:t>
      </w:r>
      <w:r w:rsidR="006B523A" w:rsidRPr="00CB2F0D">
        <w:rPr>
          <w:rFonts w:ascii="Times New Roman" w:hAnsi="Times New Roman" w:cs="Times New Roman"/>
        </w:rPr>
        <w:t xml:space="preserve"> </w:t>
      </w:r>
    </w:p>
    <w:bookmarkEnd w:id="1"/>
    <w:p w14:paraId="396C6EE7" w14:textId="7623C193" w:rsidR="000947C1" w:rsidRPr="00BA795A" w:rsidRDefault="000947C1" w:rsidP="000947C1">
      <w:pPr>
        <w:ind w:left="0"/>
        <w:rPr>
          <w:rFonts w:ascii="Times New Roman" w:hAnsi="Times New Roman" w:cs="Times New Roman"/>
          <w:b/>
          <w:bCs/>
        </w:rPr>
      </w:pPr>
      <w:r w:rsidRPr="00CB2F0D">
        <w:rPr>
          <w:rFonts w:ascii="Times New Roman" w:hAnsi="Times New Roman" w:cs="Times New Roman"/>
          <w:b/>
          <w:bCs/>
        </w:rPr>
        <w:t xml:space="preserve">Beredning av förslag till </w:t>
      </w:r>
      <w:r w:rsidR="000B3188" w:rsidRPr="00CB2F0D">
        <w:rPr>
          <w:rFonts w:ascii="Times New Roman" w:hAnsi="Times New Roman" w:cs="Times New Roman"/>
          <w:b/>
          <w:bCs/>
        </w:rPr>
        <w:t>i</w:t>
      </w:r>
      <w:r w:rsidRPr="00CB2F0D">
        <w:rPr>
          <w:rFonts w:ascii="Times New Roman" w:hAnsi="Times New Roman" w:cs="Times New Roman"/>
          <w:b/>
          <w:bCs/>
        </w:rPr>
        <w:t>ncitamentsprogram 2021</w:t>
      </w:r>
      <w:r w:rsidRPr="00BA795A">
        <w:rPr>
          <w:rFonts w:ascii="Times New Roman" w:hAnsi="Times New Roman" w:cs="Times New Roman"/>
          <w:b/>
          <w:bCs/>
        </w:rPr>
        <w:t>/2024</w:t>
      </w:r>
    </w:p>
    <w:p w14:paraId="0FE76931" w14:textId="6F43F89B" w:rsidR="000947C1" w:rsidRPr="00BA795A" w:rsidRDefault="00D713CC" w:rsidP="000947C1">
      <w:pPr>
        <w:ind w:left="0"/>
        <w:rPr>
          <w:rFonts w:ascii="Times New Roman" w:hAnsi="Times New Roman" w:cs="Times New Roman"/>
        </w:rPr>
      </w:pPr>
      <w:r w:rsidRPr="00BA795A">
        <w:rPr>
          <w:rFonts w:ascii="Times New Roman" w:hAnsi="Times New Roman" w:cs="Times New Roman"/>
        </w:rPr>
        <w:t>Förslaget till incitamentsprogrammet har utarbetats av styrelsen i samråd med externa rådgivare. Incitamentsprogrammet har behandlats vid styrelsesammanträde i april 2021</w:t>
      </w:r>
      <w:r w:rsidR="000947C1" w:rsidRPr="00BA795A">
        <w:rPr>
          <w:rFonts w:ascii="Times New Roman" w:hAnsi="Times New Roman" w:cs="Times New Roman"/>
        </w:rPr>
        <w:t>.</w:t>
      </w:r>
    </w:p>
    <w:p w14:paraId="3BBB250A" w14:textId="77777777" w:rsidR="000947C1" w:rsidRPr="00BA795A" w:rsidRDefault="000947C1" w:rsidP="000947C1">
      <w:pPr>
        <w:ind w:left="0"/>
        <w:rPr>
          <w:rFonts w:ascii="Times New Roman" w:hAnsi="Times New Roman" w:cs="Times New Roman"/>
          <w:b/>
          <w:bCs/>
        </w:rPr>
      </w:pPr>
      <w:r w:rsidRPr="00BA795A">
        <w:rPr>
          <w:rFonts w:ascii="Times New Roman" w:hAnsi="Times New Roman" w:cs="Times New Roman"/>
          <w:b/>
          <w:bCs/>
        </w:rPr>
        <w:t>Värdering</w:t>
      </w:r>
    </w:p>
    <w:p w14:paraId="1588B8DE" w14:textId="0208D9F5" w:rsidR="000947C1" w:rsidRPr="00BA795A" w:rsidRDefault="000947C1" w:rsidP="000947C1">
      <w:pPr>
        <w:ind w:left="0"/>
        <w:rPr>
          <w:rFonts w:ascii="Times New Roman" w:hAnsi="Times New Roman" w:cs="Times New Roman"/>
        </w:rPr>
      </w:pPr>
      <w:r w:rsidRPr="00BA795A">
        <w:rPr>
          <w:rFonts w:ascii="Times New Roman" w:hAnsi="Times New Roman" w:cs="Times New Roman"/>
        </w:rPr>
        <w:t>Deltagarnas teckning ska ske till marknadsvärde. Värdering av teckningsoptionerna ska baseras på beräkning enligt Black &amp; Scholes optionsvärderingsmodell</w:t>
      </w:r>
      <w:r w:rsidR="00D713CC" w:rsidRPr="00BA795A">
        <w:rPr>
          <w:rFonts w:ascii="Times New Roman" w:hAnsi="Times New Roman" w:cs="Times New Roman"/>
        </w:rPr>
        <w:t xml:space="preserve"> och vedertagna antaganden om bland annat volatilitet och riskfri ränta vid tidpunkten för överlåtelsen. Värdet har preliminärt beräknats till</w:t>
      </w:r>
      <w:r w:rsidR="00E00204" w:rsidRPr="00BA795A">
        <w:rPr>
          <w:rFonts w:ascii="Times New Roman" w:hAnsi="Times New Roman" w:cs="Times New Roman"/>
        </w:rPr>
        <w:t xml:space="preserve"> 0,5</w:t>
      </w:r>
      <w:r w:rsidR="007B5E87" w:rsidRPr="00BA795A">
        <w:rPr>
          <w:rFonts w:ascii="Times New Roman" w:hAnsi="Times New Roman" w:cs="Times New Roman"/>
        </w:rPr>
        <w:t>5</w:t>
      </w:r>
      <w:r w:rsidR="00D713CC" w:rsidRPr="00BA795A">
        <w:rPr>
          <w:rFonts w:ascii="Times New Roman" w:hAnsi="Times New Roman" w:cs="Times New Roman"/>
        </w:rPr>
        <w:t xml:space="preserve"> kronor per teckningsoption baserat på en aktiekurs om </w:t>
      </w:r>
      <w:r w:rsidR="00E00204" w:rsidRPr="00BA795A">
        <w:rPr>
          <w:rFonts w:ascii="Times New Roman" w:hAnsi="Times New Roman" w:cs="Times New Roman"/>
        </w:rPr>
        <w:t>7,6</w:t>
      </w:r>
      <w:r w:rsidR="007B5E87" w:rsidRPr="00BA795A">
        <w:rPr>
          <w:rFonts w:ascii="Times New Roman" w:hAnsi="Times New Roman" w:cs="Times New Roman"/>
        </w:rPr>
        <w:t>0</w:t>
      </w:r>
      <w:r w:rsidR="00D713CC" w:rsidRPr="00BA795A">
        <w:rPr>
          <w:rFonts w:ascii="Times New Roman" w:hAnsi="Times New Roman" w:cs="Times New Roman"/>
        </w:rPr>
        <w:t xml:space="preserve"> kronor, en teckningskurs om </w:t>
      </w:r>
      <w:r w:rsidR="00E00204" w:rsidRPr="00BA795A">
        <w:rPr>
          <w:rFonts w:ascii="Times New Roman" w:hAnsi="Times New Roman" w:cs="Times New Roman"/>
        </w:rPr>
        <w:t>14</w:t>
      </w:r>
      <w:r w:rsidR="00D713CC" w:rsidRPr="00BA795A">
        <w:rPr>
          <w:rFonts w:ascii="Times New Roman" w:hAnsi="Times New Roman" w:cs="Times New Roman"/>
        </w:rPr>
        <w:t xml:space="preserve"> kronor, en löptid om 3 år, en riskfri ränta om </w:t>
      </w:r>
      <w:r w:rsidR="00E00204" w:rsidRPr="00BA795A">
        <w:rPr>
          <w:rFonts w:ascii="Times New Roman" w:hAnsi="Times New Roman" w:cs="Times New Roman"/>
        </w:rPr>
        <w:t>0,0</w:t>
      </w:r>
      <w:r w:rsidR="00D713CC" w:rsidRPr="00BA795A">
        <w:rPr>
          <w:rFonts w:ascii="Times New Roman" w:hAnsi="Times New Roman" w:cs="Times New Roman"/>
        </w:rPr>
        <w:t xml:space="preserve"> procent samt en volatilitet om </w:t>
      </w:r>
      <w:r w:rsidR="00E00204" w:rsidRPr="00BA795A">
        <w:rPr>
          <w:rFonts w:ascii="Times New Roman" w:hAnsi="Times New Roman" w:cs="Times New Roman"/>
        </w:rPr>
        <w:t>35</w:t>
      </w:r>
      <w:r w:rsidR="00D713CC" w:rsidRPr="00BA795A">
        <w:rPr>
          <w:rFonts w:ascii="Times New Roman" w:hAnsi="Times New Roman" w:cs="Times New Roman"/>
        </w:rPr>
        <w:t xml:space="preserve"> procent. Slutlig värdering av teckningsoptionerna sker i anslutning till deltagarnas </w:t>
      </w:r>
      <w:r w:rsidR="007B5E87" w:rsidRPr="00BA795A">
        <w:rPr>
          <w:rFonts w:ascii="Times New Roman" w:hAnsi="Times New Roman" w:cs="Times New Roman"/>
        </w:rPr>
        <w:t xml:space="preserve">teckning </w:t>
      </w:r>
      <w:r w:rsidR="00D713CC" w:rsidRPr="00BA795A">
        <w:rPr>
          <w:rFonts w:ascii="Times New Roman" w:hAnsi="Times New Roman" w:cs="Times New Roman"/>
        </w:rPr>
        <w:t>av teckningsoptionerna och kommer att baseras på vid den tidpunkten rådande marknadsförutsättningar.</w:t>
      </w:r>
    </w:p>
    <w:p w14:paraId="3928D405" w14:textId="77777777" w:rsidR="000947C1" w:rsidRPr="00BA795A" w:rsidRDefault="000947C1" w:rsidP="000947C1">
      <w:pPr>
        <w:ind w:left="0"/>
        <w:rPr>
          <w:rFonts w:ascii="Times New Roman" w:hAnsi="Times New Roman" w:cs="Times New Roman"/>
          <w:b/>
          <w:bCs/>
        </w:rPr>
      </w:pPr>
      <w:r w:rsidRPr="00BA795A">
        <w:rPr>
          <w:rFonts w:ascii="Times New Roman" w:hAnsi="Times New Roman" w:cs="Times New Roman"/>
          <w:b/>
          <w:bCs/>
        </w:rPr>
        <w:t>Kostnader och påverkan på nyckeltal</w:t>
      </w:r>
    </w:p>
    <w:p w14:paraId="6E5AA692" w14:textId="3FA9E52D" w:rsidR="000947C1" w:rsidRPr="00BA795A" w:rsidRDefault="00D713CC" w:rsidP="000947C1">
      <w:pPr>
        <w:ind w:left="0"/>
        <w:rPr>
          <w:rFonts w:ascii="Times New Roman" w:eastAsiaTheme="minorHAnsi" w:hAnsi="Times New Roman" w:cs="Times New Roman"/>
        </w:rPr>
      </w:pPr>
      <w:r w:rsidRPr="00BA795A">
        <w:rPr>
          <w:rFonts w:ascii="Times New Roman" w:eastAsiaTheme="minorHAnsi" w:hAnsi="Times New Roman" w:cs="Times New Roman"/>
        </w:rPr>
        <w:t xml:space="preserve">Teckningsoptionerna som </w:t>
      </w:r>
      <w:r w:rsidR="006D7D01" w:rsidRPr="00BA795A">
        <w:rPr>
          <w:rFonts w:ascii="Times New Roman" w:eastAsiaTheme="minorHAnsi" w:hAnsi="Times New Roman" w:cs="Times New Roman"/>
        </w:rPr>
        <w:t>tecknas av</w:t>
      </w:r>
      <w:r w:rsidRPr="00BA795A">
        <w:rPr>
          <w:rFonts w:ascii="Times New Roman" w:eastAsiaTheme="minorHAnsi" w:hAnsi="Times New Roman" w:cs="Times New Roman"/>
        </w:rPr>
        <w:t xml:space="preserve"> deltagare i Sverige sker till ett pris motsvarande teckningsoptionernas marknadsvärde vid teckningstidpunkten, vilket innebär att det inte ska uppkomma några lönekostnader eller sociala avgifter för </w:t>
      </w:r>
      <w:r w:rsidR="007B2030">
        <w:rPr>
          <w:rFonts w:ascii="Times New Roman" w:eastAsiaTheme="minorHAnsi" w:hAnsi="Times New Roman" w:cs="Times New Roman"/>
        </w:rPr>
        <w:t>bolaget</w:t>
      </w:r>
      <w:r w:rsidRPr="00BA795A">
        <w:rPr>
          <w:rFonts w:ascii="Times New Roman" w:eastAsiaTheme="minorHAnsi" w:hAnsi="Times New Roman" w:cs="Times New Roman"/>
        </w:rPr>
        <w:t>. Av denna anledning föreligger inte behov av att vidta några åtgärder för säkring (</w:t>
      </w:r>
      <w:proofErr w:type="spellStart"/>
      <w:r w:rsidRPr="00BA795A">
        <w:rPr>
          <w:rFonts w:ascii="Times New Roman" w:eastAsiaTheme="minorHAnsi" w:hAnsi="Times New Roman" w:cs="Times New Roman"/>
        </w:rPr>
        <w:t>hedge</w:t>
      </w:r>
      <w:proofErr w:type="spellEnd"/>
      <w:r w:rsidRPr="00BA795A">
        <w:rPr>
          <w:rFonts w:ascii="Times New Roman" w:eastAsiaTheme="minorHAnsi" w:hAnsi="Times New Roman" w:cs="Times New Roman"/>
        </w:rPr>
        <w:t xml:space="preserve">) av </w:t>
      </w:r>
      <w:r w:rsidRPr="00BA795A">
        <w:rPr>
          <w:rFonts w:ascii="Times New Roman" w:hAnsi="Times New Roman" w:cs="Times New Roman"/>
        </w:rPr>
        <w:t>incitamentsprogrammet</w:t>
      </w:r>
      <w:r w:rsidRPr="00BA795A">
        <w:rPr>
          <w:rFonts w:ascii="Times New Roman" w:eastAsiaTheme="minorHAnsi" w:hAnsi="Times New Roman" w:cs="Times New Roman"/>
        </w:rPr>
        <w:t>.</w:t>
      </w:r>
    </w:p>
    <w:p w14:paraId="26B51851" w14:textId="73E58BD2" w:rsidR="000947C1" w:rsidRPr="00BA795A" w:rsidRDefault="000947C1" w:rsidP="000947C1">
      <w:pPr>
        <w:ind w:left="0"/>
        <w:rPr>
          <w:rFonts w:ascii="Times New Roman" w:hAnsi="Times New Roman" w:cs="Times New Roman"/>
        </w:rPr>
      </w:pPr>
      <w:r w:rsidRPr="00BA795A">
        <w:rPr>
          <w:rFonts w:ascii="Times New Roman" w:hAnsi="Times New Roman" w:cs="Times New Roman"/>
        </w:rPr>
        <w:lastRenderedPageBreak/>
        <w:t xml:space="preserve">Vid full teckning till ett pris motsvarande det beräknade värdet (med ett antaget pris per teckningsoption om </w:t>
      </w:r>
      <w:r w:rsidR="007B5E87" w:rsidRPr="00BA795A">
        <w:rPr>
          <w:rFonts w:ascii="Times New Roman" w:hAnsi="Times New Roman" w:cs="Times New Roman"/>
        </w:rPr>
        <w:t>0,55</w:t>
      </w:r>
      <w:r w:rsidR="00713AC4" w:rsidRPr="00BA795A">
        <w:rPr>
          <w:rFonts w:ascii="Times New Roman" w:hAnsi="Times New Roman" w:cs="Times New Roman"/>
        </w:rPr>
        <w:t xml:space="preserve"> </w:t>
      </w:r>
      <w:r w:rsidRPr="00BA795A">
        <w:rPr>
          <w:rFonts w:ascii="Times New Roman" w:hAnsi="Times New Roman" w:cs="Times New Roman"/>
        </w:rPr>
        <w:t xml:space="preserve">kronor) erhåller </w:t>
      </w:r>
      <w:r w:rsidR="007B2030">
        <w:rPr>
          <w:rFonts w:ascii="Times New Roman" w:hAnsi="Times New Roman" w:cs="Times New Roman"/>
        </w:rPr>
        <w:t>bolaget</w:t>
      </w:r>
      <w:r w:rsidRPr="00BA795A">
        <w:rPr>
          <w:rFonts w:ascii="Times New Roman" w:hAnsi="Times New Roman" w:cs="Times New Roman"/>
        </w:rPr>
        <w:t xml:space="preserve"> en sammanlagd teckningsoptionspremie respektive </w:t>
      </w:r>
      <w:r w:rsidR="006D7D01" w:rsidRPr="00BA795A">
        <w:rPr>
          <w:rFonts w:ascii="Times New Roman" w:hAnsi="Times New Roman" w:cs="Times New Roman"/>
        </w:rPr>
        <w:t xml:space="preserve">teckningslikvid </w:t>
      </w:r>
      <w:r w:rsidRPr="00BA795A">
        <w:rPr>
          <w:rFonts w:ascii="Times New Roman" w:hAnsi="Times New Roman" w:cs="Times New Roman"/>
        </w:rPr>
        <w:t xml:space="preserve">om </w:t>
      </w:r>
      <w:r w:rsidR="007B5E87" w:rsidRPr="00BA795A">
        <w:rPr>
          <w:rFonts w:ascii="Times New Roman" w:hAnsi="Times New Roman" w:cs="Times New Roman"/>
        </w:rPr>
        <w:t>260 550,95</w:t>
      </w:r>
      <w:r w:rsidR="00713AC4" w:rsidRPr="00BA795A">
        <w:rPr>
          <w:rFonts w:ascii="Times New Roman" w:hAnsi="Times New Roman" w:cs="Times New Roman"/>
        </w:rPr>
        <w:t xml:space="preserve"> </w:t>
      </w:r>
      <w:r w:rsidRPr="00BA795A">
        <w:rPr>
          <w:rFonts w:ascii="Times New Roman" w:hAnsi="Times New Roman" w:cs="Times New Roman"/>
        </w:rPr>
        <w:t xml:space="preserve">kronor. Vid fullt utnyttjande av teckningsoptionerna och vid en teckningskurs om </w:t>
      </w:r>
      <w:r w:rsidR="007B5E87" w:rsidRPr="00BA795A">
        <w:rPr>
          <w:rFonts w:ascii="Times New Roman" w:hAnsi="Times New Roman" w:cs="Times New Roman"/>
        </w:rPr>
        <w:t>14</w:t>
      </w:r>
      <w:r w:rsidR="00713AC4" w:rsidRPr="00BA795A">
        <w:rPr>
          <w:rFonts w:ascii="Times New Roman" w:hAnsi="Times New Roman" w:cs="Times New Roman"/>
        </w:rPr>
        <w:t xml:space="preserve"> </w:t>
      </w:r>
      <w:r w:rsidRPr="00BA795A">
        <w:rPr>
          <w:rFonts w:ascii="Times New Roman" w:hAnsi="Times New Roman" w:cs="Times New Roman"/>
        </w:rPr>
        <w:t xml:space="preserve">kronor kommer </w:t>
      </w:r>
      <w:r w:rsidR="007B2030">
        <w:rPr>
          <w:rFonts w:ascii="Times New Roman" w:hAnsi="Times New Roman" w:cs="Times New Roman"/>
        </w:rPr>
        <w:t>bolaget</w:t>
      </w:r>
      <w:r w:rsidRPr="00BA795A">
        <w:rPr>
          <w:rFonts w:ascii="Times New Roman" w:hAnsi="Times New Roman" w:cs="Times New Roman"/>
        </w:rPr>
        <w:t xml:space="preserve"> därutöver att tillföras en emissionslikvid om </w:t>
      </w:r>
      <w:r w:rsidR="007B5E87" w:rsidRPr="00BA795A">
        <w:rPr>
          <w:rFonts w:ascii="Times New Roman" w:hAnsi="Times New Roman" w:cs="Times New Roman"/>
        </w:rPr>
        <w:t>6 632 206</w:t>
      </w:r>
      <w:r w:rsidR="00713AC4" w:rsidRPr="00BA795A">
        <w:rPr>
          <w:rFonts w:ascii="Times New Roman" w:hAnsi="Times New Roman" w:cs="Times New Roman"/>
        </w:rPr>
        <w:t xml:space="preserve"> </w:t>
      </w:r>
      <w:r w:rsidRPr="00BA795A">
        <w:rPr>
          <w:rFonts w:ascii="Times New Roman" w:hAnsi="Times New Roman" w:cs="Times New Roman"/>
        </w:rPr>
        <w:t>kronor.</w:t>
      </w:r>
    </w:p>
    <w:p w14:paraId="5A82B264" w14:textId="0AA42D0E" w:rsidR="00D713CC" w:rsidRPr="00BA795A" w:rsidRDefault="00D713CC" w:rsidP="00D713CC">
      <w:pPr>
        <w:ind w:left="0"/>
        <w:rPr>
          <w:rFonts w:ascii="Times New Roman" w:hAnsi="Times New Roman" w:cs="Times New Roman"/>
          <w:b/>
          <w:bCs/>
        </w:rPr>
      </w:pPr>
      <w:r w:rsidRPr="00BA795A">
        <w:rPr>
          <w:rFonts w:ascii="Times New Roman" w:hAnsi="Times New Roman" w:cs="Times New Roman"/>
          <w:b/>
          <w:bCs/>
        </w:rPr>
        <w:t>Utspädning</w:t>
      </w:r>
    </w:p>
    <w:p w14:paraId="71A3A7C6" w14:textId="7825E94A" w:rsidR="001E29F2" w:rsidRPr="00BA795A" w:rsidRDefault="00D713CC" w:rsidP="00AD5405">
      <w:pPr>
        <w:keepNext/>
        <w:ind w:left="0"/>
        <w:rPr>
          <w:rFonts w:ascii="Times New Roman" w:eastAsiaTheme="minorHAnsi" w:hAnsi="Times New Roman" w:cs="Times New Roman"/>
          <w:lang w:eastAsia="en-US"/>
        </w:rPr>
      </w:pPr>
      <w:r w:rsidRPr="00BA795A">
        <w:rPr>
          <w:rFonts w:ascii="Times New Roman" w:hAnsi="Times New Roman" w:cs="Times New Roman"/>
        </w:rPr>
        <w:t xml:space="preserve">Vid full anslutning och fullt utnyttjande av teckningsoptionerna kan </w:t>
      </w:r>
      <w:r w:rsidR="007B2030">
        <w:rPr>
          <w:rFonts w:ascii="Times New Roman" w:hAnsi="Times New Roman" w:cs="Times New Roman"/>
        </w:rPr>
        <w:t>bolaget</w:t>
      </w:r>
      <w:r w:rsidRPr="00BA795A">
        <w:rPr>
          <w:rFonts w:ascii="Times New Roman" w:hAnsi="Times New Roman" w:cs="Times New Roman"/>
        </w:rPr>
        <w:t xml:space="preserve">s aktiekapital komma att öka med högst </w:t>
      </w:r>
      <w:r w:rsidR="00E00204" w:rsidRPr="00BA795A">
        <w:rPr>
          <w:rFonts w:ascii="Times New Roman" w:hAnsi="Times New Roman" w:cs="Times New Roman"/>
        </w:rPr>
        <w:t xml:space="preserve">47 372,90 </w:t>
      </w:r>
      <w:r w:rsidRPr="00BA795A">
        <w:rPr>
          <w:rFonts w:ascii="Times New Roman" w:hAnsi="Times New Roman" w:cs="Times New Roman"/>
        </w:rPr>
        <w:t xml:space="preserve">kronor genom utgivande av högst </w:t>
      </w:r>
      <w:r w:rsidR="00E00204" w:rsidRPr="00BA795A">
        <w:rPr>
          <w:rFonts w:ascii="Times New Roman" w:hAnsi="Times New Roman" w:cs="Times New Roman"/>
        </w:rPr>
        <w:t xml:space="preserve">473 729 </w:t>
      </w:r>
      <w:r w:rsidRPr="00BA795A">
        <w:rPr>
          <w:rFonts w:ascii="Times New Roman" w:hAnsi="Times New Roman" w:cs="Times New Roman"/>
        </w:rPr>
        <w:t xml:space="preserve">aktier, var och en med ett kvotvärde om </w:t>
      </w:r>
      <w:r w:rsidR="006D7D01" w:rsidRPr="00BA795A">
        <w:rPr>
          <w:rFonts w:ascii="Times New Roman" w:hAnsi="Times New Roman" w:cs="Times New Roman"/>
        </w:rPr>
        <w:t xml:space="preserve">0,10 </w:t>
      </w:r>
      <w:r w:rsidRPr="00BA795A">
        <w:rPr>
          <w:rFonts w:ascii="Times New Roman" w:hAnsi="Times New Roman" w:cs="Times New Roman"/>
        </w:rPr>
        <w:t xml:space="preserve">kronor, dock med förbehåll för den höjning som kan föranledas av omräkning enligt teckningsoptionsvillkoren till följd av emissioner </w:t>
      </w:r>
      <w:proofErr w:type="gramStart"/>
      <w:r w:rsidRPr="00BA795A">
        <w:rPr>
          <w:rFonts w:ascii="Times New Roman" w:hAnsi="Times New Roman" w:cs="Times New Roman"/>
        </w:rPr>
        <w:t>m.m.</w:t>
      </w:r>
      <w:proofErr w:type="gramEnd"/>
      <w:r w:rsidRPr="00BA795A">
        <w:rPr>
          <w:rFonts w:ascii="Times New Roman" w:hAnsi="Times New Roman" w:cs="Times New Roman"/>
        </w:rPr>
        <w:t xml:space="preserve"> Dessa nya aktier utgör, vid fullt utnyttjande, cirka </w:t>
      </w:r>
      <w:r w:rsidR="00E00204" w:rsidRPr="00BA795A">
        <w:rPr>
          <w:rFonts w:ascii="Times New Roman" w:hAnsi="Times New Roman" w:cs="Times New Roman"/>
        </w:rPr>
        <w:t>2</w:t>
      </w:r>
      <w:r w:rsidRPr="00BA795A">
        <w:rPr>
          <w:rFonts w:ascii="Times New Roman" w:hAnsi="Times New Roman" w:cs="Times New Roman"/>
        </w:rPr>
        <w:t xml:space="preserve"> procent av det totala antalet aktier i </w:t>
      </w:r>
      <w:r w:rsidR="007B2030">
        <w:rPr>
          <w:rFonts w:ascii="Times New Roman" w:hAnsi="Times New Roman" w:cs="Times New Roman"/>
        </w:rPr>
        <w:t>bolaget</w:t>
      </w:r>
      <w:r w:rsidRPr="00BA795A">
        <w:rPr>
          <w:rFonts w:ascii="Times New Roman" w:hAnsi="Times New Roman" w:cs="Times New Roman"/>
        </w:rPr>
        <w:t>.</w:t>
      </w:r>
    </w:p>
    <w:sectPr w:rsidR="001E29F2" w:rsidRPr="00BA79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8C90" w14:textId="77777777" w:rsidR="00A96896" w:rsidRDefault="00A96896" w:rsidP="00283D06">
      <w:pPr>
        <w:spacing w:after="0" w:line="240" w:lineRule="auto"/>
      </w:pPr>
      <w:r>
        <w:separator/>
      </w:r>
    </w:p>
  </w:endnote>
  <w:endnote w:type="continuationSeparator" w:id="0">
    <w:p w14:paraId="3D912669" w14:textId="77777777" w:rsidR="00A96896" w:rsidRDefault="00A96896" w:rsidP="0028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940B" w14:textId="77777777" w:rsidR="009A2265" w:rsidRDefault="009A22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0693" w14:textId="77777777" w:rsidR="009A2265" w:rsidRDefault="009A22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58FD" w14:textId="77777777" w:rsidR="009A2265" w:rsidRDefault="009A22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2F498" w14:textId="77777777" w:rsidR="00A96896" w:rsidRDefault="00A96896" w:rsidP="00283D06">
      <w:pPr>
        <w:spacing w:after="0" w:line="240" w:lineRule="auto"/>
      </w:pPr>
      <w:r>
        <w:separator/>
      </w:r>
    </w:p>
  </w:footnote>
  <w:footnote w:type="continuationSeparator" w:id="0">
    <w:p w14:paraId="39187341" w14:textId="77777777" w:rsidR="00A96896" w:rsidRDefault="00A96896" w:rsidP="00283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BC80" w14:textId="77777777" w:rsidR="009A2265" w:rsidRDefault="009A22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2F76" w14:textId="5EB9012D" w:rsidR="00283D06" w:rsidRDefault="00283D06" w:rsidP="003E0B25">
    <w:pPr>
      <w:pStyle w:val="Sidhuvud"/>
      <w:ind w:left="0"/>
    </w:pPr>
  </w:p>
  <w:p w14:paraId="29B5EBDD" w14:textId="77777777" w:rsidR="003E0B25" w:rsidRDefault="003E0B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4BB7" w14:textId="77777777" w:rsidR="009A2265" w:rsidRDefault="009A22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812C4"/>
    <w:multiLevelType w:val="hybridMultilevel"/>
    <w:tmpl w:val="27D6A4B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27E404F4"/>
    <w:multiLevelType w:val="hybridMultilevel"/>
    <w:tmpl w:val="76D06DC4"/>
    <w:lvl w:ilvl="0" w:tplc="72801038">
      <w:start w:val="1"/>
      <w:numFmt w:val="decimal"/>
      <w:lvlText w:val="%1."/>
      <w:lvlJc w:val="left"/>
      <w:pPr>
        <w:ind w:left="985" w:hanging="853"/>
      </w:pPr>
      <w:rPr>
        <w:rFonts w:ascii="Georgia" w:eastAsia="Georgia" w:hAnsi="Georgia" w:cs="Georgia" w:hint="default"/>
        <w:w w:val="99"/>
        <w:sz w:val="20"/>
        <w:szCs w:val="20"/>
        <w:lang w:val="en-GB" w:eastAsia="en-US" w:bidi="ar-SA"/>
      </w:rPr>
    </w:lvl>
    <w:lvl w:ilvl="1" w:tplc="B14C3424">
      <w:numFmt w:val="bullet"/>
      <w:lvlText w:val="•"/>
      <w:lvlJc w:val="left"/>
      <w:pPr>
        <w:ind w:left="1886" w:hanging="853"/>
      </w:pPr>
      <w:rPr>
        <w:rFonts w:hint="default"/>
        <w:lang w:val="en-GB" w:eastAsia="en-US" w:bidi="ar-SA"/>
      </w:rPr>
    </w:lvl>
    <w:lvl w:ilvl="2" w:tplc="AADC6FCC">
      <w:numFmt w:val="bullet"/>
      <w:lvlText w:val="•"/>
      <w:lvlJc w:val="left"/>
      <w:pPr>
        <w:ind w:left="2793" w:hanging="853"/>
      </w:pPr>
      <w:rPr>
        <w:rFonts w:hint="default"/>
        <w:lang w:val="en-GB" w:eastAsia="en-US" w:bidi="ar-SA"/>
      </w:rPr>
    </w:lvl>
    <w:lvl w:ilvl="3" w:tplc="772A0A4C">
      <w:numFmt w:val="bullet"/>
      <w:lvlText w:val="•"/>
      <w:lvlJc w:val="left"/>
      <w:pPr>
        <w:ind w:left="3699" w:hanging="853"/>
      </w:pPr>
      <w:rPr>
        <w:rFonts w:hint="default"/>
        <w:lang w:val="en-GB" w:eastAsia="en-US" w:bidi="ar-SA"/>
      </w:rPr>
    </w:lvl>
    <w:lvl w:ilvl="4" w:tplc="46D0060A">
      <w:numFmt w:val="bullet"/>
      <w:lvlText w:val="•"/>
      <w:lvlJc w:val="left"/>
      <w:pPr>
        <w:ind w:left="4606" w:hanging="853"/>
      </w:pPr>
      <w:rPr>
        <w:rFonts w:hint="default"/>
        <w:lang w:val="en-GB" w:eastAsia="en-US" w:bidi="ar-SA"/>
      </w:rPr>
    </w:lvl>
    <w:lvl w:ilvl="5" w:tplc="1D4A23E8">
      <w:numFmt w:val="bullet"/>
      <w:lvlText w:val="•"/>
      <w:lvlJc w:val="left"/>
      <w:pPr>
        <w:ind w:left="5513" w:hanging="853"/>
      </w:pPr>
      <w:rPr>
        <w:rFonts w:hint="default"/>
        <w:lang w:val="en-GB" w:eastAsia="en-US" w:bidi="ar-SA"/>
      </w:rPr>
    </w:lvl>
    <w:lvl w:ilvl="6" w:tplc="C0E8390E">
      <w:numFmt w:val="bullet"/>
      <w:lvlText w:val="•"/>
      <w:lvlJc w:val="left"/>
      <w:pPr>
        <w:ind w:left="6419" w:hanging="853"/>
      </w:pPr>
      <w:rPr>
        <w:rFonts w:hint="default"/>
        <w:lang w:val="en-GB" w:eastAsia="en-US" w:bidi="ar-SA"/>
      </w:rPr>
    </w:lvl>
    <w:lvl w:ilvl="7" w:tplc="1DEEB5F0">
      <w:numFmt w:val="bullet"/>
      <w:lvlText w:val="•"/>
      <w:lvlJc w:val="left"/>
      <w:pPr>
        <w:ind w:left="7326" w:hanging="853"/>
      </w:pPr>
      <w:rPr>
        <w:rFonts w:hint="default"/>
        <w:lang w:val="en-GB" w:eastAsia="en-US" w:bidi="ar-SA"/>
      </w:rPr>
    </w:lvl>
    <w:lvl w:ilvl="8" w:tplc="6A325C42">
      <w:numFmt w:val="bullet"/>
      <w:lvlText w:val="•"/>
      <w:lvlJc w:val="left"/>
      <w:pPr>
        <w:ind w:left="8233" w:hanging="853"/>
      </w:pPr>
      <w:rPr>
        <w:rFonts w:hint="default"/>
        <w:lang w:val="en-GB" w:eastAsia="en-US" w:bidi="ar-SA"/>
      </w:rPr>
    </w:lvl>
  </w:abstractNum>
  <w:abstractNum w:abstractNumId="2" w15:restartNumberingAfterBreak="0">
    <w:nsid w:val="468A4C9D"/>
    <w:multiLevelType w:val="hybridMultilevel"/>
    <w:tmpl w:val="FC2490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EB12BE3"/>
    <w:multiLevelType w:val="hybridMultilevel"/>
    <w:tmpl w:val="E34A1A0E"/>
    <w:lvl w:ilvl="0" w:tplc="7416CA00">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A34CDE"/>
    <w:multiLevelType w:val="hybridMultilevel"/>
    <w:tmpl w:val="DCDA3598"/>
    <w:lvl w:ilvl="0" w:tplc="171837EE">
      <w:start w:val="1"/>
      <w:numFmt w:val="decimal"/>
      <w:lvlText w:val="%1."/>
      <w:lvlJc w:val="left"/>
      <w:pPr>
        <w:ind w:left="720" w:hanging="360"/>
      </w:pPr>
    </w:lvl>
    <w:lvl w:ilvl="1" w:tplc="236E96FA">
      <w:start w:val="1"/>
      <w:numFmt w:val="lowerLetter"/>
      <w:lvlText w:val="%2."/>
      <w:lvlJc w:val="left"/>
      <w:pPr>
        <w:ind w:left="1440" w:hanging="360"/>
      </w:pPr>
    </w:lvl>
    <w:lvl w:ilvl="2" w:tplc="9FD648DA" w:tentative="1">
      <w:start w:val="1"/>
      <w:numFmt w:val="lowerRoman"/>
      <w:lvlText w:val="%3."/>
      <w:lvlJc w:val="right"/>
      <w:pPr>
        <w:ind w:left="2160" w:hanging="180"/>
      </w:pPr>
    </w:lvl>
    <w:lvl w:ilvl="3" w:tplc="486E377C" w:tentative="1">
      <w:start w:val="1"/>
      <w:numFmt w:val="decimal"/>
      <w:lvlText w:val="%4."/>
      <w:lvlJc w:val="left"/>
      <w:pPr>
        <w:ind w:left="2880" w:hanging="360"/>
      </w:pPr>
    </w:lvl>
    <w:lvl w:ilvl="4" w:tplc="F5901F5C" w:tentative="1">
      <w:start w:val="1"/>
      <w:numFmt w:val="lowerLetter"/>
      <w:lvlText w:val="%5."/>
      <w:lvlJc w:val="left"/>
      <w:pPr>
        <w:ind w:left="3600" w:hanging="360"/>
      </w:pPr>
    </w:lvl>
    <w:lvl w:ilvl="5" w:tplc="584CE288" w:tentative="1">
      <w:start w:val="1"/>
      <w:numFmt w:val="lowerRoman"/>
      <w:lvlText w:val="%6."/>
      <w:lvlJc w:val="right"/>
      <w:pPr>
        <w:ind w:left="4320" w:hanging="180"/>
      </w:pPr>
    </w:lvl>
    <w:lvl w:ilvl="6" w:tplc="3398DBC4" w:tentative="1">
      <w:start w:val="1"/>
      <w:numFmt w:val="decimal"/>
      <w:lvlText w:val="%7."/>
      <w:lvlJc w:val="left"/>
      <w:pPr>
        <w:ind w:left="5040" w:hanging="360"/>
      </w:pPr>
    </w:lvl>
    <w:lvl w:ilvl="7" w:tplc="788887EC" w:tentative="1">
      <w:start w:val="1"/>
      <w:numFmt w:val="lowerLetter"/>
      <w:lvlText w:val="%8."/>
      <w:lvlJc w:val="left"/>
      <w:pPr>
        <w:ind w:left="5760" w:hanging="360"/>
      </w:pPr>
    </w:lvl>
    <w:lvl w:ilvl="8" w:tplc="DBBE96A0" w:tentative="1">
      <w:start w:val="1"/>
      <w:numFmt w:val="lowerRoman"/>
      <w:lvlText w:val="%9."/>
      <w:lvlJc w:val="right"/>
      <w:pPr>
        <w:ind w:left="6480" w:hanging="180"/>
      </w:pPr>
    </w:lvl>
  </w:abstractNum>
  <w:abstractNum w:abstractNumId="5" w15:restartNumberingAfterBreak="0">
    <w:nsid w:val="52507DFE"/>
    <w:multiLevelType w:val="hybridMultilevel"/>
    <w:tmpl w:val="9322F988"/>
    <w:lvl w:ilvl="0" w:tplc="79648422">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3F21952"/>
    <w:multiLevelType w:val="hybridMultilevel"/>
    <w:tmpl w:val="1464B302"/>
    <w:lvl w:ilvl="0" w:tplc="041D0017">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71DE1D43"/>
    <w:multiLevelType w:val="hybridMultilevel"/>
    <w:tmpl w:val="A5F092D0"/>
    <w:lvl w:ilvl="0" w:tplc="2FC29076">
      <w:start w:val="1"/>
      <w:numFmt w:val="decimal"/>
      <w:lvlText w:val="%1."/>
      <w:lvlJc w:val="left"/>
      <w:pPr>
        <w:ind w:left="720" w:hanging="360"/>
      </w:pPr>
    </w:lvl>
    <w:lvl w:ilvl="1" w:tplc="A926B564" w:tentative="1">
      <w:start w:val="1"/>
      <w:numFmt w:val="lowerLetter"/>
      <w:lvlText w:val="%2."/>
      <w:lvlJc w:val="left"/>
      <w:pPr>
        <w:ind w:left="1440" w:hanging="360"/>
      </w:pPr>
    </w:lvl>
    <w:lvl w:ilvl="2" w:tplc="2BE6604E" w:tentative="1">
      <w:start w:val="1"/>
      <w:numFmt w:val="lowerRoman"/>
      <w:lvlText w:val="%3."/>
      <w:lvlJc w:val="right"/>
      <w:pPr>
        <w:ind w:left="2160" w:hanging="180"/>
      </w:pPr>
    </w:lvl>
    <w:lvl w:ilvl="3" w:tplc="20B40F18" w:tentative="1">
      <w:start w:val="1"/>
      <w:numFmt w:val="decimal"/>
      <w:lvlText w:val="%4."/>
      <w:lvlJc w:val="left"/>
      <w:pPr>
        <w:ind w:left="2880" w:hanging="360"/>
      </w:pPr>
    </w:lvl>
    <w:lvl w:ilvl="4" w:tplc="57780052" w:tentative="1">
      <w:start w:val="1"/>
      <w:numFmt w:val="lowerLetter"/>
      <w:lvlText w:val="%5."/>
      <w:lvlJc w:val="left"/>
      <w:pPr>
        <w:ind w:left="3600" w:hanging="360"/>
      </w:pPr>
    </w:lvl>
    <w:lvl w:ilvl="5" w:tplc="B7002D76" w:tentative="1">
      <w:start w:val="1"/>
      <w:numFmt w:val="lowerRoman"/>
      <w:lvlText w:val="%6."/>
      <w:lvlJc w:val="right"/>
      <w:pPr>
        <w:ind w:left="4320" w:hanging="180"/>
      </w:pPr>
    </w:lvl>
    <w:lvl w:ilvl="6" w:tplc="5C3850DE" w:tentative="1">
      <w:start w:val="1"/>
      <w:numFmt w:val="decimal"/>
      <w:lvlText w:val="%7."/>
      <w:lvlJc w:val="left"/>
      <w:pPr>
        <w:ind w:left="5040" w:hanging="360"/>
      </w:pPr>
    </w:lvl>
    <w:lvl w:ilvl="7" w:tplc="A844CE1E" w:tentative="1">
      <w:start w:val="1"/>
      <w:numFmt w:val="lowerLetter"/>
      <w:lvlText w:val="%8."/>
      <w:lvlJc w:val="left"/>
      <w:pPr>
        <w:ind w:left="5760" w:hanging="360"/>
      </w:pPr>
    </w:lvl>
    <w:lvl w:ilvl="8" w:tplc="D0AE61AC"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28"/>
    <w:rsid w:val="000121A0"/>
    <w:rsid w:val="000365BA"/>
    <w:rsid w:val="00066F28"/>
    <w:rsid w:val="0008648A"/>
    <w:rsid w:val="000947C1"/>
    <w:rsid w:val="0009743F"/>
    <w:rsid w:val="000B3188"/>
    <w:rsid w:val="00110FB0"/>
    <w:rsid w:val="0011546D"/>
    <w:rsid w:val="00137E24"/>
    <w:rsid w:val="0015654D"/>
    <w:rsid w:val="001922FA"/>
    <w:rsid w:val="001C0A67"/>
    <w:rsid w:val="001E29F2"/>
    <w:rsid w:val="00243958"/>
    <w:rsid w:val="00283D06"/>
    <w:rsid w:val="00353D60"/>
    <w:rsid w:val="003A6A51"/>
    <w:rsid w:val="003E0B25"/>
    <w:rsid w:val="004053FD"/>
    <w:rsid w:val="004A36DC"/>
    <w:rsid w:val="004E6195"/>
    <w:rsid w:val="00553D4C"/>
    <w:rsid w:val="005649C6"/>
    <w:rsid w:val="00590F99"/>
    <w:rsid w:val="005E5313"/>
    <w:rsid w:val="005F28B3"/>
    <w:rsid w:val="006128F1"/>
    <w:rsid w:val="006245F5"/>
    <w:rsid w:val="00662FB3"/>
    <w:rsid w:val="00686EEF"/>
    <w:rsid w:val="00691D1A"/>
    <w:rsid w:val="006B523A"/>
    <w:rsid w:val="006D7D01"/>
    <w:rsid w:val="006E5F77"/>
    <w:rsid w:val="00713AC4"/>
    <w:rsid w:val="007B2030"/>
    <w:rsid w:val="007B5E87"/>
    <w:rsid w:val="008928A8"/>
    <w:rsid w:val="008B242D"/>
    <w:rsid w:val="0095081C"/>
    <w:rsid w:val="00974946"/>
    <w:rsid w:val="00995EDE"/>
    <w:rsid w:val="009A2265"/>
    <w:rsid w:val="00A13019"/>
    <w:rsid w:val="00A96896"/>
    <w:rsid w:val="00AA2531"/>
    <w:rsid w:val="00AD5405"/>
    <w:rsid w:val="00B104C4"/>
    <w:rsid w:val="00B33D41"/>
    <w:rsid w:val="00BA795A"/>
    <w:rsid w:val="00BE2A4A"/>
    <w:rsid w:val="00C56870"/>
    <w:rsid w:val="00CB2F0D"/>
    <w:rsid w:val="00D50B4D"/>
    <w:rsid w:val="00D713CC"/>
    <w:rsid w:val="00DE3CC2"/>
    <w:rsid w:val="00DF51C1"/>
    <w:rsid w:val="00E00204"/>
    <w:rsid w:val="00E45607"/>
    <w:rsid w:val="00EA4181"/>
    <w:rsid w:val="00FB0F82"/>
    <w:rsid w:val="00FC23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B04A07"/>
  <w15:chartTrackingRefBased/>
  <w15:docId w15:val="{9432710E-1A58-4F09-ACF7-592AB922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öptext med indrag"/>
    <w:qFormat/>
    <w:rsid w:val="00066F28"/>
    <w:pPr>
      <w:spacing w:after="200" w:line="276" w:lineRule="auto"/>
      <w:ind w:left="851"/>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1"/>
    <w:qFormat/>
    <w:rsid w:val="00066F28"/>
    <w:pPr>
      <w:tabs>
        <w:tab w:val="left" w:pos="851"/>
      </w:tabs>
      <w:spacing w:before="60" w:after="20" w:line="240" w:lineRule="auto"/>
      <w:contextualSpacing/>
    </w:pPr>
    <w:rPr>
      <w:rFonts w:eastAsiaTheme="minorHAnsi"/>
      <w:lang w:eastAsia="en-US" w:bidi="en-US"/>
    </w:rPr>
  </w:style>
  <w:style w:type="paragraph" w:styleId="Sidhuvud">
    <w:name w:val="header"/>
    <w:basedOn w:val="Normal"/>
    <w:link w:val="SidhuvudChar"/>
    <w:uiPriority w:val="99"/>
    <w:unhideWhenUsed/>
    <w:rsid w:val="00283D0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D06"/>
    <w:rPr>
      <w:rFonts w:eastAsiaTheme="minorEastAsia"/>
      <w:lang w:eastAsia="sv-SE"/>
    </w:rPr>
  </w:style>
  <w:style w:type="paragraph" w:styleId="Sidfot">
    <w:name w:val="footer"/>
    <w:basedOn w:val="Normal"/>
    <w:link w:val="SidfotChar"/>
    <w:uiPriority w:val="99"/>
    <w:unhideWhenUsed/>
    <w:rsid w:val="00283D0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D06"/>
    <w:rPr>
      <w:rFonts w:eastAsiaTheme="minorEastAsia"/>
      <w:lang w:eastAsia="sv-SE"/>
    </w:rPr>
  </w:style>
  <w:style w:type="character" w:styleId="Kommentarsreferens">
    <w:name w:val="annotation reference"/>
    <w:basedOn w:val="Standardstycketeckensnitt"/>
    <w:uiPriority w:val="99"/>
    <w:semiHidden/>
    <w:unhideWhenUsed/>
    <w:rsid w:val="008B242D"/>
    <w:rPr>
      <w:sz w:val="16"/>
      <w:szCs w:val="16"/>
    </w:rPr>
  </w:style>
  <w:style w:type="paragraph" w:styleId="Kommentarer">
    <w:name w:val="annotation text"/>
    <w:basedOn w:val="Normal"/>
    <w:link w:val="KommentarerChar"/>
    <w:uiPriority w:val="99"/>
    <w:semiHidden/>
    <w:unhideWhenUsed/>
    <w:rsid w:val="008B242D"/>
    <w:pPr>
      <w:spacing w:line="240" w:lineRule="auto"/>
    </w:pPr>
    <w:rPr>
      <w:sz w:val="20"/>
      <w:szCs w:val="20"/>
    </w:rPr>
  </w:style>
  <w:style w:type="character" w:customStyle="1" w:styleId="KommentarerChar">
    <w:name w:val="Kommentarer Char"/>
    <w:basedOn w:val="Standardstycketeckensnitt"/>
    <w:link w:val="Kommentarer"/>
    <w:uiPriority w:val="99"/>
    <w:semiHidden/>
    <w:rsid w:val="008B242D"/>
    <w:rPr>
      <w:rFonts w:eastAsiaTheme="minorEastAsia"/>
      <w:sz w:val="20"/>
      <w:szCs w:val="20"/>
      <w:lang w:eastAsia="sv-SE"/>
    </w:rPr>
  </w:style>
  <w:style w:type="paragraph" w:styleId="Kommentarsmne">
    <w:name w:val="annotation subject"/>
    <w:basedOn w:val="Kommentarer"/>
    <w:next w:val="Kommentarer"/>
    <w:link w:val="KommentarsmneChar"/>
    <w:uiPriority w:val="99"/>
    <w:semiHidden/>
    <w:unhideWhenUsed/>
    <w:rsid w:val="008B242D"/>
    <w:rPr>
      <w:b/>
      <w:bCs/>
    </w:rPr>
  </w:style>
  <w:style w:type="character" w:customStyle="1" w:styleId="KommentarsmneChar">
    <w:name w:val="Kommentarsämne Char"/>
    <w:basedOn w:val="KommentarerChar"/>
    <w:link w:val="Kommentarsmne"/>
    <w:uiPriority w:val="99"/>
    <w:semiHidden/>
    <w:rsid w:val="008B242D"/>
    <w:rPr>
      <w:rFonts w:eastAsiaTheme="minorEastAsia"/>
      <w:b/>
      <w:bCs/>
      <w:sz w:val="20"/>
      <w:szCs w:val="20"/>
      <w:lang w:eastAsia="sv-SE"/>
    </w:rPr>
  </w:style>
  <w:style w:type="paragraph" w:styleId="Revision">
    <w:name w:val="Revision"/>
    <w:hidden/>
    <w:uiPriority w:val="99"/>
    <w:semiHidden/>
    <w:rsid w:val="0011546D"/>
    <w:pPr>
      <w:spacing w:after="0" w:line="240" w:lineRule="auto"/>
    </w:pPr>
    <w:rPr>
      <w:rFonts w:eastAsiaTheme="minorEastAsia"/>
      <w:lang w:eastAsia="sv-SE"/>
    </w:rPr>
  </w:style>
  <w:style w:type="paragraph" w:styleId="Brdtext">
    <w:name w:val="Body Text"/>
    <w:basedOn w:val="Normal"/>
    <w:link w:val="BrdtextChar"/>
    <w:uiPriority w:val="1"/>
    <w:qFormat/>
    <w:rsid w:val="008928A8"/>
    <w:pPr>
      <w:widowControl w:val="0"/>
      <w:autoSpaceDE w:val="0"/>
      <w:autoSpaceDN w:val="0"/>
      <w:spacing w:after="0" w:line="240" w:lineRule="auto"/>
      <w:ind w:left="0"/>
    </w:pPr>
    <w:rPr>
      <w:rFonts w:ascii="Arial" w:eastAsia="Arial" w:hAnsi="Arial" w:cs="Arial"/>
      <w:sz w:val="20"/>
      <w:szCs w:val="20"/>
      <w:lang w:val="en-GB" w:eastAsia="en-US"/>
    </w:rPr>
  </w:style>
  <w:style w:type="character" w:customStyle="1" w:styleId="BrdtextChar">
    <w:name w:val="Brödtext Char"/>
    <w:basedOn w:val="Standardstycketeckensnitt"/>
    <w:link w:val="Brdtext"/>
    <w:uiPriority w:val="1"/>
    <w:rsid w:val="008928A8"/>
    <w:rPr>
      <w:rFonts w:ascii="Arial" w:eastAsia="Arial"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091242">
      <w:bodyDiv w:val="1"/>
      <w:marLeft w:val="0"/>
      <w:marRight w:val="0"/>
      <w:marTop w:val="0"/>
      <w:marBottom w:val="0"/>
      <w:divBdr>
        <w:top w:val="none" w:sz="0" w:space="0" w:color="auto"/>
        <w:left w:val="none" w:sz="0" w:space="0" w:color="auto"/>
        <w:bottom w:val="none" w:sz="0" w:space="0" w:color="auto"/>
        <w:right w:val="none" w:sz="0" w:space="0" w:color="auto"/>
      </w:divBdr>
    </w:div>
    <w:div w:id="131081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 L E G A L ! 1 2 3 8 2 0 1 2 . 7 < / d o c u m e n t i d >  
     < s e n d e r i d > J E S P E R . M . J O H A N S S O N @ C I R I O . S E < / s e n d e r i d >  
     < s e n d e r e m a i l > j e s p e r . m . j o h a n s s o n @ c i r i o . s e < / s e n d e r e m a i l >  
     < l a s t m o d i f i e d > 2 0 2 1 - 0 5 - 0 4 T 1 4 : 0 2 : 0 0 . 0 0 0 0 0 0 0 + 0 2 : 0 0 < / l a s t m o d i f i e d >  
     < d a t a b a s e > L E G A L < / 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5B5E-26D8-4D82-8F54-28C24CCB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Pages>
  <Words>1374</Words>
  <Characters>8648</Characters>
  <Application>Microsoft Office Word</Application>
  <DocSecurity>0</DocSecurity>
  <Lines>160</Lines>
  <Paragraphs>64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Westman</dc:creator>
  <cp:keywords/>
  <dc:description/>
  <cp:lastModifiedBy>Jesper M Johansson</cp:lastModifiedBy>
  <cp:revision>17</cp:revision>
  <cp:lastPrinted>2021-04-16T15:20:00Z</cp:lastPrinted>
  <dcterms:created xsi:type="dcterms:W3CDTF">2021-04-19T07:01:00Z</dcterms:created>
  <dcterms:modified xsi:type="dcterms:W3CDTF">2021-05-04T12:02:00Z</dcterms:modified>
</cp:coreProperties>
</file>